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4AD72F42" w:rsidR="00E66558" w:rsidRPr="00D262D6" w:rsidRDefault="009D71E8">
      <w:pPr>
        <w:pStyle w:val="Heading1"/>
        <w:rPr>
          <w:sz w:val="32"/>
          <w:szCs w:val="32"/>
        </w:rPr>
      </w:pPr>
      <w:bookmarkStart w:id="0" w:name="_Toc400361362"/>
      <w:bookmarkStart w:id="1" w:name="_Toc443397153"/>
      <w:bookmarkStart w:id="2" w:name="_Toc357771638"/>
      <w:bookmarkStart w:id="3" w:name="_Toc346793416"/>
      <w:bookmarkStart w:id="4" w:name="_Toc328122777"/>
      <w:bookmarkStart w:id="5" w:name="_GoBack"/>
      <w:bookmarkEnd w:id="5"/>
      <w:r w:rsidRPr="00D262D6">
        <w:rPr>
          <w:sz w:val="32"/>
          <w:szCs w:val="32"/>
        </w:rP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rsidRPr="00D262D6">
        <w:rPr>
          <w:sz w:val="32"/>
          <w:szCs w:val="32"/>
        </w:rPr>
        <w:t xml:space="preserve"> –</w:t>
      </w:r>
      <w:r w:rsidR="007B656D" w:rsidRPr="00D262D6">
        <w:rPr>
          <w:iCs/>
          <w:sz w:val="32"/>
          <w:szCs w:val="32"/>
        </w:rPr>
        <w:t>EP Collier Primary School and Nursery</w:t>
      </w:r>
      <w:r w:rsidR="00196163" w:rsidRPr="00D262D6">
        <w:rPr>
          <w:iCs/>
          <w:sz w:val="32"/>
          <w:szCs w:val="32"/>
        </w:rPr>
        <w:t xml:space="preserve"> </w:t>
      </w:r>
      <w:r w:rsidR="007B656D" w:rsidRPr="00D262D6">
        <w:rPr>
          <w:i/>
          <w:iCs/>
          <w:sz w:val="32"/>
          <w:szCs w:val="32"/>
        </w:rPr>
        <w:t xml:space="preserve"> </w:t>
      </w:r>
    </w:p>
    <w:p w14:paraId="77015CC2" w14:textId="77777777" w:rsidR="005E18CB" w:rsidRDefault="005E18CB" w:rsidP="00C62989"/>
    <w:p w14:paraId="16B48015" w14:textId="10C880C9" w:rsidR="00E66558" w:rsidRPr="00D262D6" w:rsidRDefault="009D71E8" w:rsidP="00C62989">
      <w:pPr>
        <w:rPr>
          <w:b/>
          <w:sz w:val="20"/>
          <w:szCs w:val="20"/>
        </w:rPr>
      </w:pPr>
      <w:r w:rsidRPr="00D262D6">
        <w:rPr>
          <w:sz w:val="20"/>
          <w:szCs w:val="20"/>
        </w:rPr>
        <w:t xml:space="preserve">This statement details our school’s use of pupil premium (and recovery premium) funding to help improve the attainment of our disadvantaged pupils. </w:t>
      </w:r>
    </w:p>
    <w:p w14:paraId="2A7D54B3" w14:textId="730F2E71" w:rsidR="00E66558" w:rsidRPr="00D262D6" w:rsidRDefault="009D71E8" w:rsidP="00C62989">
      <w:pPr>
        <w:rPr>
          <w:b/>
          <w:sz w:val="20"/>
          <w:szCs w:val="20"/>
        </w:rPr>
      </w:pPr>
      <w:r w:rsidRPr="00D262D6">
        <w:rPr>
          <w:sz w:val="20"/>
          <w:szCs w:val="20"/>
        </w:rPr>
        <w:t xml:space="preserve">It outlines our pupil premium strategy, how we intend to spend the funding in this academic year and the </w:t>
      </w:r>
      <w:r w:rsidR="00830D57" w:rsidRPr="00D262D6">
        <w:rPr>
          <w:sz w:val="20"/>
          <w:szCs w:val="20"/>
        </w:rPr>
        <w:t xml:space="preserve">outcomes </w:t>
      </w:r>
      <w:r w:rsidR="00A44FBB" w:rsidRPr="00D262D6">
        <w:rPr>
          <w:sz w:val="20"/>
          <w:szCs w:val="20"/>
        </w:rPr>
        <w:t>for disadvantaged pupils</w:t>
      </w:r>
      <w:r w:rsidRPr="00D262D6">
        <w:rPr>
          <w:sz w:val="20"/>
          <w:szCs w:val="20"/>
        </w:rPr>
        <w:t xml:space="preserve"> last </w:t>
      </w:r>
      <w:r w:rsidR="00A44FBB" w:rsidRPr="00D262D6">
        <w:rPr>
          <w:sz w:val="20"/>
          <w:szCs w:val="20"/>
        </w:rPr>
        <w:t xml:space="preserve">academic </w:t>
      </w:r>
      <w:r w:rsidRPr="00D262D6">
        <w:rPr>
          <w:sz w:val="20"/>
          <w:szCs w:val="20"/>
        </w:rPr>
        <w:t>year</w:t>
      </w:r>
      <w:r w:rsidR="00A44FBB" w:rsidRPr="00D262D6">
        <w:rPr>
          <w:sz w:val="20"/>
          <w:szCs w:val="20"/>
        </w:rPr>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D262D6" w:rsidRDefault="002940F3">
            <w:pPr>
              <w:pStyle w:val="TableRow"/>
              <w:rPr>
                <w:sz w:val="20"/>
                <w:szCs w:val="20"/>
              </w:rPr>
            </w:pPr>
            <w:r w:rsidRPr="00D262D6">
              <w:rPr>
                <w:sz w:val="20"/>
                <w:szCs w:val="20"/>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C0B92ED" w:rsidR="002940F3" w:rsidRPr="00D262D6" w:rsidRDefault="00790457">
            <w:pPr>
              <w:pStyle w:val="TableRow"/>
              <w:rPr>
                <w:sz w:val="20"/>
                <w:szCs w:val="20"/>
              </w:rPr>
            </w:pPr>
            <w:r w:rsidRPr="00D262D6">
              <w:rPr>
                <w:sz w:val="20"/>
                <w:szCs w:val="20"/>
              </w:rPr>
              <w:t>40</w:t>
            </w:r>
            <w:r w:rsidR="00720057" w:rsidRPr="00D262D6">
              <w:rPr>
                <w:sz w:val="20"/>
                <w:szCs w:val="20"/>
              </w:rPr>
              <w:t>6</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D262D6" w:rsidRDefault="002940F3">
            <w:pPr>
              <w:pStyle w:val="TableRow"/>
              <w:rPr>
                <w:sz w:val="20"/>
                <w:szCs w:val="20"/>
              </w:rPr>
            </w:pPr>
            <w:r w:rsidRPr="00D262D6">
              <w:rPr>
                <w:sz w:val="20"/>
                <w:szCs w:val="20"/>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D5D96B5" w:rsidR="002940F3" w:rsidRPr="00D262D6" w:rsidRDefault="00235861">
            <w:pPr>
              <w:pStyle w:val="TableRow"/>
              <w:rPr>
                <w:sz w:val="20"/>
                <w:szCs w:val="20"/>
              </w:rPr>
            </w:pPr>
            <w:r w:rsidRPr="00D262D6">
              <w:rPr>
                <w:sz w:val="20"/>
                <w:szCs w:val="20"/>
              </w:rPr>
              <w:t>19.2</w:t>
            </w:r>
            <w:r w:rsidR="00790457" w:rsidRPr="00D262D6">
              <w:rPr>
                <w:sz w:val="20"/>
                <w:szCs w:val="20"/>
              </w:rPr>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4BB41A72" w:rsidR="002940F3" w:rsidRPr="00D262D6" w:rsidRDefault="002940F3">
            <w:pPr>
              <w:pStyle w:val="TableRow"/>
              <w:rPr>
                <w:sz w:val="20"/>
                <w:szCs w:val="20"/>
              </w:rPr>
            </w:pPr>
            <w:r w:rsidRPr="00D262D6">
              <w:rPr>
                <w:sz w:val="20"/>
                <w:szCs w:val="20"/>
              </w:rP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D0C8A56" w:rsidR="002940F3" w:rsidRPr="00D262D6" w:rsidRDefault="00196163">
            <w:pPr>
              <w:pStyle w:val="TableRow"/>
              <w:rPr>
                <w:sz w:val="20"/>
                <w:szCs w:val="20"/>
              </w:rPr>
            </w:pPr>
            <w:r w:rsidRPr="00D262D6">
              <w:rPr>
                <w:sz w:val="20"/>
                <w:szCs w:val="20"/>
              </w:rPr>
              <w:t>2024-2025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D262D6" w:rsidRDefault="002940F3">
            <w:pPr>
              <w:pStyle w:val="TableRow"/>
              <w:rPr>
                <w:sz w:val="20"/>
                <w:szCs w:val="20"/>
              </w:rPr>
            </w:pPr>
            <w:r w:rsidRPr="00D262D6">
              <w:rPr>
                <w:sz w:val="20"/>
                <w:szCs w:val="20"/>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238969E" w:rsidR="002940F3" w:rsidRPr="00D262D6" w:rsidRDefault="00196163">
            <w:pPr>
              <w:pStyle w:val="TableRow"/>
              <w:rPr>
                <w:sz w:val="20"/>
                <w:szCs w:val="20"/>
              </w:rPr>
            </w:pPr>
            <w:r w:rsidRPr="00D262D6">
              <w:rPr>
                <w:sz w:val="20"/>
                <w:szCs w:val="20"/>
              </w:rPr>
              <w:t>17</w:t>
            </w:r>
            <w:r w:rsidRPr="00D262D6">
              <w:rPr>
                <w:sz w:val="20"/>
                <w:szCs w:val="20"/>
                <w:vertAlign w:val="superscript"/>
              </w:rPr>
              <w:t>th</w:t>
            </w:r>
            <w:r w:rsidRPr="00D262D6">
              <w:rPr>
                <w:sz w:val="20"/>
                <w:szCs w:val="20"/>
              </w:rPr>
              <w:t xml:space="preserve"> December 2024 </w:t>
            </w:r>
            <w:r w:rsidR="00790457" w:rsidRPr="00D262D6">
              <w:rPr>
                <w:sz w:val="20"/>
                <w:szCs w:val="20"/>
              </w:rPr>
              <w:t xml:space="preserve"> </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D262D6" w:rsidRDefault="002940F3">
            <w:pPr>
              <w:pStyle w:val="TableRow"/>
              <w:rPr>
                <w:sz w:val="20"/>
                <w:szCs w:val="20"/>
              </w:rPr>
            </w:pPr>
            <w:r w:rsidRPr="00D262D6">
              <w:rPr>
                <w:sz w:val="20"/>
                <w:szCs w:val="20"/>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776184A" w:rsidR="002940F3" w:rsidRPr="00D262D6" w:rsidRDefault="00790457">
            <w:pPr>
              <w:pStyle w:val="TableRow"/>
              <w:rPr>
                <w:sz w:val="20"/>
                <w:szCs w:val="20"/>
              </w:rPr>
            </w:pPr>
            <w:r w:rsidRPr="00D262D6">
              <w:rPr>
                <w:sz w:val="20"/>
                <w:szCs w:val="20"/>
              </w:rPr>
              <w:t>20</w:t>
            </w:r>
            <w:r w:rsidRPr="00D262D6">
              <w:rPr>
                <w:sz w:val="20"/>
                <w:szCs w:val="20"/>
                <w:vertAlign w:val="superscript"/>
              </w:rPr>
              <w:t>th</w:t>
            </w:r>
            <w:r w:rsidRPr="00D262D6">
              <w:rPr>
                <w:sz w:val="20"/>
                <w:szCs w:val="20"/>
              </w:rPr>
              <w:t xml:space="preserve"> July 202</w:t>
            </w:r>
            <w:r w:rsidR="00235861" w:rsidRPr="00D262D6">
              <w:rPr>
                <w:sz w:val="20"/>
                <w:szCs w:val="20"/>
              </w:rPr>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D262D6" w:rsidRDefault="002940F3">
            <w:pPr>
              <w:pStyle w:val="TableRow"/>
              <w:rPr>
                <w:sz w:val="20"/>
                <w:szCs w:val="20"/>
              </w:rPr>
            </w:pPr>
            <w:r w:rsidRPr="00D262D6">
              <w:rPr>
                <w:sz w:val="20"/>
                <w:szCs w:val="20"/>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06093" w14:textId="77777777" w:rsidR="002940F3" w:rsidRPr="00D262D6" w:rsidRDefault="00790457">
            <w:pPr>
              <w:pStyle w:val="TableRow"/>
              <w:rPr>
                <w:sz w:val="20"/>
                <w:szCs w:val="20"/>
              </w:rPr>
            </w:pPr>
            <w:r w:rsidRPr="00D262D6">
              <w:rPr>
                <w:sz w:val="20"/>
                <w:szCs w:val="20"/>
              </w:rPr>
              <w:t>Justine McMinn</w:t>
            </w:r>
          </w:p>
          <w:p w14:paraId="2A7D54C8" w14:textId="7B220576" w:rsidR="00790457" w:rsidRPr="00D262D6" w:rsidRDefault="00790457">
            <w:pPr>
              <w:pStyle w:val="TableRow"/>
              <w:rPr>
                <w:sz w:val="20"/>
                <w:szCs w:val="20"/>
              </w:rPr>
            </w:pPr>
            <w:r w:rsidRPr="00D262D6">
              <w:rPr>
                <w:sz w:val="20"/>
                <w:szCs w:val="20"/>
              </w:rPr>
              <w:t xml:space="preserve">Headteacher </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D262D6" w:rsidRDefault="002940F3">
            <w:pPr>
              <w:pStyle w:val="TableRow"/>
              <w:rPr>
                <w:sz w:val="20"/>
                <w:szCs w:val="20"/>
              </w:rPr>
            </w:pPr>
            <w:r w:rsidRPr="00D262D6">
              <w:rPr>
                <w:sz w:val="20"/>
                <w:szCs w:val="20"/>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668ED0E" w:rsidR="002940F3" w:rsidRPr="00D262D6" w:rsidRDefault="0058541A">
            <w:pPr>
              <w:pStyle w:val="TableRow"/>
              <w:rPr>
                <w:sz w:val="20"/>
                <w:szCs w:val="20"/>
              </w:rPr>
            </w:pPr>
            <w:r w:rsidRPr="00D262D6">
              <w:rPr>
                <w:sz w:val="20"/>
                <w:szCs w:val="20"/>
              </w:rPr>
              <w:t>Vickie Gillanders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D262D6" w:rsidRDefault="009D71E8">
            <w:pPr>
              <w:pStyle w:val="TableRow"/>
              <w:rPr>
                <w:sz w:val="20"/>
                <w:szCs w:val="20"/>
              </w:rPr>
            </w:pPr>
            <w:r w:rsidRPr="00D262D6">
              <w:rPr>
                <w:sz w:val="20"/>
                <w:szCs w:val="20"/>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2724B85" w:rsidR="00E66558" w:rsidRPr="00D262D6" w:rsidRDefault="009D71E8">
            <w:pPr>
              <w:pStyle w:val="TableRow"/>
              <w:rPr>
                <w:sz w:val="20"/>
                <w:szCs w:val="20"/>
              </w:rPr>
            </w:pPr>
            <w:r w:rsidRPr="00D262D6">
              <w:rPr>
                <w:sz w:val="20"/>
                <w:szCs w:val="20"/>
              </w:rPr>
              <w:t>£</w:t>
            </w:r>
            <w:r w:rsidR="005A595B" w:rsidRPr="00D262D6">
              <w:rPr>
                <w:sz w:val="20"/>
                <w:szCs w:val="20"/>
              </w:rPr>
              <w:t>127,657.00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Pr="00D262D6" w:rsidRDefault="009D71E8">
            <w:pPr>
              <w:pStyle w:val="TableRow"/>
              <w:rPr>
                <w:sz w:val="20"/>
                <w:szCs w:val="20"/>
              </w:rPr>
            </w:pPr>
            <w:r w:rsidRPr="00D262D6">
              <w:rPr>
                <w:sz w:val="20"/>
                <w:szCs w:val="20"/>
              </w:rPr>
              <w:t>Recovery premium funding allocation this academic year</w:t>
            </w:r>
          </w:p>
          <w:p w14:paraId="2A7D54DA" w14:textId="033165FA" w:rsidR="00CA5363" w:rsidRPr="00D262D6" w:rsidRDefault="00CA5363" w:rsidP="00CA5363">
            <w:pPr>
              <w:pStyle w:val="TableRow"/>
              <w:rPr>
                <w:i/>
                <w:iCs/>
                <w:sz w:val="20"/>
                <w:szCs w:val="20"/>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C15E08E" w:rsidR="00E66558" w:rsidRPr="00D262D6" w:rsidRDefault="009D71E8">
            <w:pPr>
              <w:pStyle w:val="TableRow"/>
              <w:rPr>
                <w:sz w:val="20"/>
                <w:szCs w:val="20"/>
              </w:rPr>
            </w:pPr>
            <w:r w:rsidRPr="00D262D6">
              <w:rPr>
                <w:sz w:val="20"/>
                <w:szCs w:val="20"/>
              </w:rPr>
              <w:t>£</w:t>
            </w:r>
            <w:r w:rsidR="008E1053" w:rsidRPr="00D262D6">
              <w:rPr>
                <w:sz w:val="20"/>
                <w:szCs w:val="20"/>
              </w:rPr>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02FEF24E" w:rsidR="007109F6" w:rsidRPr="00D262D6" w:rsidRDefault="009D71E8" w:rsidP="005F16B6">
            <w:pPr>
              <w:pStyle w:val="TableRow"/>
              <w:spacing w:after="120"/>
              <w:rPr>
                <w:sz w:val="20"/>
                <w:szCs w:val="20"/>
              </w:rPr>
            </w:pPr>
            <w:r w:rsidRPr="00D262D6">
              <w:rPr>
                <w:sz w:val="20"/>
                <w:szCs w:val="20"/>
              </w:rPr>
              <w:t>Pupil premium</w:t>
            </w:r>
            <w:r w:rsidR="005F16B6" w:rsidRPr="00D262D6">
              <w:rPr>
                <w:sz w:val="20"/>
                <w:szCs w:val="20"/>
              </w:rPr>
              <w:t xml:space="preserve"> </w:t>
            </w:r>
            <w:r w:rsidRPr="00D262D6">
              <w:rPr>
                <w:sz w:val="20"/>
                <w:szCs w:val="20"/>
              </w:rPr>
              <w:t xml:space="preserve">funding carried forward from previous years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3774481B" w:rsidR="00E66558" w:rsidRPr="00D262D6" w:rsidRDefault="009D71E8">
            <w:pPr>
              <w:pStyle w:val="TableRow"/>
              <w:rPr>
                <w:sz w:val="20"/>
                <w:szCs w:val="20"/>
              </w:rPr>
            </w:pPr>
            <w:r w:rsidRPr="00D262D6">
              <w:rPr>
                <w:sz w:val="20"/>
                <w:szCs w:val="20"/>
              </w:rPr>
              <w:t>£</w:t>
            </w:r>
            <w:r w:rsidR="008E1053" w:rsidRPr="00D262D6">
              <w:rPr>
                <w:sz w:val="20"/>
                <w:szCs w:val="20"/>
              </w:rPr>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D262D6" w:rsidRDefault="009D71E8" w:rsidP="009C0914">
            <w:pPr>
              <w:pStyle w:val="TableRow"/>
              <w:spacing w:after="120"/>
              <w:rPr>
                <w:b/>
                <w:sz w:val="20"/>
                <w:szCs w:val="20"/>
              </w:rPr>
            </w:pPr>
            <w:r w:rsidRPr="00D262D6">
              <w:rPr>
                <w:b/>
                <w:sz w:val="20"/>
                <w:szCs w:val="20"/>
              </w:rPr>
              <w:t>Total budget for this academic year</w:t>
            </w:r>
          </w:p>
          <w:p w14:paraId="2A7D54E1" w14:textId="17C4EEFF" w:rsidR="00E66558" w:rsidRPr="00D262D6" w:rsidRDefault="00E66558">
            <w:pPr>
              <w:pStyle w:val="TableRow"/>
              <w:rPr>
                <w:i/>
                <w:iCs/>
                <w:sz w:val="20"/>
                <w:szCs w:val="20"/>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67E20D7" w:rsidR="00E66558" w:rsidRPr="00D262D6" w:rsidRDefault="009D71E8">
            <w:pPr>
              <w:pStyle w:val="TableRow"/>
              <w:rPr>
                <w:sz w:val="20"/>
                <w:szCs w:val="20"/>
              </w:rPr>
            </w:pPr>
            <w:r w:rsidRPr="00D262D6">
              <w:rPr>
                <w:sz w:val="20"/>
                <w:szCs w:val="20"/>
              </w:rPr>
              <w:t>£</w:t>
            </w:r>
            <w:r w:rsidR="005A595B" w:rsidRPr="00D262D6">
              <w:rPr>
                <w:sz w:val="20"/>
                <w:szCs w:val="20"/>
              </w:rPr>
              <w:t>127,657.00</w:t>
            </w:r>
          </w:p>
        </w:tc>
      </w:tr>
    </w:tbl>
    <w:p w14:paraId="2A7D54E4" w14:textId="77777777" w:rsidR="00E66558" w:rsidRPr="00D262D6" w:rsidRDefault="009D71E8">
      <w:pPr>
        <w:pStyle w:val="Heading1"/>
        <w:rPr>
          <w:sz w:val="32"/>
          <w:szCs w:val="32"/>
        </w:rPr>
      </w:pPr>
      <w:r w:rsidRPr="00D262D6">
        <w:rPr>
          <w:sz w:val="32"/>
          <w:szCs w:val="32"/>
        </w:rP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30890" w14:textId="15EEB462" w:rsidR="005A595B" w:rsidRPr="00D262D6" w:rsidRDefault="005A595B" w:rsidP="00790457">
            <w:pPr>
              <w:rPr>
                <w:iCs/>
                <w:sz w:val="20"/>
                <w:szCs w:val="20"/>
              </w:rPr>
            </w:pPr>
            <w:r w:rsidRPr="00D262D6">
              <w:rPr>
                <w:i/>
                <w:iCs/>
                <w:sz w:val="20"/>
                <w:szCs w:val="20"/>
              </w:rPr>
              <w:t>‘Giving every young person the best start in life, whatever their background and wherever they grew up, is a mission that unites everyone working in schools. Getting the most out of the Pupil Premium requires careful consideration and planning.</w:t>
            </w:r>
            <w:r w:rsidR="00D262D6" w:rsidRPr="00D262D6">
              <w:rPr>
                <w:i/>
                <w:iCs/>
                <w:sz w:val="20"/>
                <w:szCs w:val="20"/>
              </w:rPr>
              <w:t xml:space="preserve"> </w:t>
            </w:r>
            <w:r w:rsidRPr="00D262D6">
              <w:rPr>
                <w:i/>
                <w:iCs/>
                <w:sz w:val="20"/>
                <w:szCs w:val="20"/>
              </w:rPr>
              <w:t>Strategies for managing Pupil Premium spend must be clearly defined and responsive to the particular needs of individual schools and specific pupils</w:t>
            </w:r>
            <w:r w:rsidR="00D262D6" w:rsidRPr="00D262D6">
              <w:rPr>
                <w:i/>
                <w:iCs/>
                <w:sz w:val="20"/>
                <w:szCs w:val="20"/>
              </w:rPr>
              <w:t>.</w:t>
            </w:r>
            <w:r w:rsidR="00D262D6" w:rsidRPr="00D262D6">
              <w:rPr>
                <w:iCs/>
                <w:sz w:val="20"/>
                <w:szCs w:val="20"/>
              </w:rPr>
              <w:t xml:space="preserve">’ </w:t>
            </w:r>
            <w:r w:rsidR="00D262D6" w:rsidRPr="00D262D6">
              <w:rPr>
                <w:b/>
                <w:iCs/>
                <w:sz w:val="20"/>
                <w:szCs w:val="20"/>
              </w:rPr>
              <w:t>Education Endowment Fund (EEF) Guide to the Pupil Premium September 2023</w:t>
            </w:r>
          </w:p>
          <w:p w14:paraId="7203D15A" w14:textId="7FBEA6B4" w:rsidR="00790457" w:rsidRPr="00D262D6" w:rsidRDefault="008E1053" w:rsidP="00790457">
            <w:pPr>
              <w:rPr>
                <w:iCs/>
                <w:sz w:val="20"/>
                <w:szCs w:val="20"/>
              </w:rPr>
            </w:pPr>
            <w:r w:rsidRPr="00D262D6">
              <w:rPr>
                <w:iCs/>
                <w:sz w:val="20"/>
                <w:szCs w:val="20"/>
              </w:rPr>
              <w:t>At EP Collier, our i</w:t>
            </w:r>
            <w:r w:rsidR="00790457" w:rsidRPr="00D262D6">
              <w:rPr>
                <w:iCs/>
                <w:sz w:val="20"/>
                <w:szCs w:val="20"/>
              </w:rPr>
              <w:t xml:space="preserve">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 </w:t>
            </w:r>
          </w:p>
          <w:p w14:paraId="07374F23" w14:textId="74EF53E2" w:rsidR="00533AC2" w:rsidRPr="00D262D6" w:rsidRDefault="00533AC2" w:rsidP="00790457">
            <w:pPr>
              <w:rPr>
                <w:iCs/>
                <w:sz w:val="20"/>
                <w:szCs w:val="20"/>
              </w:rPr>
            </w:pPr>
            <w:r w:rsidRPr="00D262D6">
              <w:rPr>
                <w:iCs/>
                <w:sz w:val="20"/>
                <w:szCs w:val="20"/>
              </w:rPr>
              <w:t xml:space="preserve">We intend to address the areas that disadvantaged pupils face both in order to achieve well and in line with their peers, by considering the barriers our children have upon joining our school. Alongside our commitment to and high expectations of raising attainment of our disadvantaged pupils, we also recognise the equal need to address the social and emotional factors which can impact on the learning experience. </w:t>
            </w:r>
          </w:p>
          <w:p w14:paraId="0337A3A4" w14:textId="1C71FA5E" w:rsidR="008E1053" w:rsidRPr="00D262D6" w:rsidRDefault="00790457" w:rsidP="00790457">
            <w:pPr>
              <w:rPr>
                <w:iCs/>
                <w:sz w:val="20"/>
                <w:szCs w:val="20"/>
              </w:rPr>
            </w:pPr>
            <w:r w:rsidRPr="00D262D6">
              <w:rPr>
                <w:iCs/>
                <w:sz w:val="20"/>
                <w:szCs w:val="20"/>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27DE6A2A" w14:textId="23F9CE05" w:rsidR="00790457" w:rsidRPr="00D262D6" w:rsidRDefault="00790457" w:rsidP="00790457">
            <w:pPr>
              <w:rPr>
                <w:iCs/>
                <w:sz w:val="20"/>
                <w:szCs w:val="20"/>
              </w:rPr>
            </w:pPr>
            <w:r w:rsidRPr="00D262D6">
              <w:rPr>
                <w:iCs/>
                <w:sz w:val="20"/>
                <w:szCs w:val="20"/>
              </w:rPr>
              <w:t xml:space="preserve">High-quality teaching is at the heart of our approach, with a focus on areas in which disadvantaged pupils require the most support. </w:t>
            </w:r>
            <w:r w:rsidR="00533AC2" w:rsidRPr="00D262D6">
              <w:rPr>
                <w:iCs/>
                <w:sz w:val="20"/>
                <w:szCs w:val="20"/>
              </w:rPr>
              <w:t xml:space="preserve">We maximise the use of assessment opportunities and evidence-based pedagogies to consider the needs of each individual. </w:t>
            </w:r>
            <w:r w:rsidRPr="00D262D6">
              <w:rPr>
                <w:iCs/>
                <w:sz w:val="20"/>
                <w:szCs w:val="20"/>
              </w:rPr>
              <w:t>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5EDC6D78" w14:textId="77777777" w:rsidR="00790457" w:rsidRPr="00D262D6" w:rsidRDefault="00790457" w:rsidP="00790457">
            <w:pPr>
              <w:rPr>
                <w:iCs/>
                <w:sz w:val="20"/>
                <w:szCs w:val="20"/>
              </w:rPr>
            </w:pPr>
            <w:r w:rsidRPr="00D262D6">
              <w:rPr>
                <w:iCs/>
                <w:sz w:val="20"/>
                <w:szCs w:val="20"/>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36EA427F" w14:textId="6F8A0826" w:rsidR="00E66558" w:rsidRPr="00D262D6" w:rsidRDefault="001D66BB" w:rsidP="00533AC2">
            <w:pPr>
              <w:pStyle w:val="ListParagraph"/>
              <w:numPr>
                <w:ilvl w:val="0"/>
                <w:numId w:val="18"/>
              </w:numPr>
              <w:rPr>
                <w:iCs/>
                <w:sz w:val="20"/>
                <w:szCs w:val="20"/>
              </w:rPr>
            </w:pPr>
            <w:r w:rsidRPr="00D262D6">
              <w:rPr>
                <w:iCs/>
                <w:sz w:val="20"/>
                <w:szCs w:val="20"/>
              </w:rPr>
              <w:t>a</w:t>
            </w:r>
            <w:r w:rsidR="00533AC2" w:rsidRPr="00D262D6">
              <w:rPr>
                <w:iCs/>
                <w:sz w:val="20"/>
                <w:szCs w:val="20"/>
              </w:rPr>
              <w:t xml:space="preserve">ct early to intervene at the </w:t>
            </w:r>
            <w:r w:rsidRPr="00D262D6">
              <w:rPr>
                <w:iCs/>
                <w:sz w:val="20"/>
                <w:szCs w:val="20"/>
              </w:rPr>
              <w:t>point</w:t>
            </w:r>
            <w:r w:rsidR="00533AC2" w:rsidRPr="00D262D6">
              <w:rPr>
                <w:iCs/>
                <w:sz w:val="20"/>
                <w:szCs w:val="20"/>
              </w:rPr>
              <w:t xml:space="preserve"> need is identified</w:t>
            </w:r>
          </w:p>
          <w:p w14:paraId="1F2A825D" w14:textId="272AD77A" w:rsidR="00533AC2" w:rsidRPr="00D262D6" w:rsidRDefault="001D66BB" w:rsidP="00533AC2">
            <w:pPr>
              <w:pStyle w:val="ListParagraph"/>
              <w:numPr>
                <w:ilvl w:val="0"/>
                <w:numId w:val="18"/>
              </w:numPr>
              <w:rPr>
                <w:iCs/>
                <w:sz w:val="20"/>
                <w:szCs w:val="20"/>
              </w:rPr>
            </w:pPr>
            <w:r w:rsidRPr="00D262D6">
              <w:rPr>
                <w:iCs/>
                <w:sz w:val="20"/>
                <w:szCs w:val="20"/>
              </w:rPr>
              <w:t>a</w:t>
            </w:r>
            <w:r w:rsidR="00533AC2" w:rsidRPr="00D262D6">
              <w:rPr>
                <w:iCs/>
                <w:sz w:val="20"/>
                <w:szCs w:val="20"/>
              </w:rPr>
              <w:t xml:space="preserve">dopt a whole school approach in which </w:t>
            </w:r>
            <w:proofErr w:type="spellStart"/>
            <w:r w:rsidR="00533AC2" w:rsidRPr="00D262D6">
              <w:rPr>
                <w:iCs/>
                <w:sz w:val="20"/>
                <w:szCs w:val="20"/>
              </w:rPr>
              <w:t>al</w:t>
            </w:r>
            <w:proofErr w:type="spellEnd"/>
            <w:r w:rsidR="00533AC2" w:rsidRPr="00D262D6">
              <w:rPr>
                <w:iCs/>
                <w:sz w:val="20"/>
                <w:szCs w:val="20"/>
              </w:rPr>
              <w:t xml:space="preserve"> staff take responsibility for disadvantaged pupils’</w:t>
            </w:r>
            <w:r w:rsidRPr="00D262D6">
              <w:rPr>
                <w:iCs/>
                <w:sz w:val="20"/>
                <w:szCs w:val="20"/>
              </w:rPr>
              <w:t xml:space="preserve"> </w:t>
            </w:r>
            <w:r w:rsidR="00533AC2" w:rsidRPr="00D262D6">
              <w:rPr>
                <w:iCs/>
                <w:sz w:val="20"/>
                <w:szCs w:val="20"/>
              </w:rPr>
              <w:t>outcomes</w:t>
            </w:r>
          </w:p>
          <w:p w14:paraId="43B47BE5" w14:textId="77777777" w:rsidR="00533AC2" w:rsidRPr="00D262D6" w:rsidRDefault="001D66BB" w:rsidP="00533AC2">
            <w:pPr>
              <w:pStyle w:val="ListParagraph"/>
              <w:numPr>
                <w:ilvl w:val="0"/>
                <w:numId w:val="18"/>
              </w:numPr>
              <w:rPr>
                <w:iCs/>
                <w:sz w:val="20"/>
                <w:szCs w:val="20"/>
              </w:rPr>
            </w:pPr>
            <w:r w:rsidRPr="00D262D6">
              <w:rPr>
                <w:iCs/>
                <w:sz w:val="20"/>
                <w:szCs w:val="20"/>
              </w:rPr>
              <w:t>r</w:t>
            </w:r>
            <w:r w:rsidR="00533AC2" w:rsidRPr="00D262D6">
              <w:rPr>
                <w:iCs/>
                <w:sz w:val="20"/>
                <w:szCs w:val="20"/>
              </w:rPr>
              <w:t xml:space="preserve">aise expectations and aspirations </w:t>
            </w:r>
            <w:r w:rsidRPr="00D262D6">
              <w:rPr>
                <w:iCs/>
                <w:sz w:val="20"/>
                <w:szCs w:val="20"/>
              </w:rPr>
              <w:t>for these children</w:t>
            </w:r>
          </w:p>
          <w:p w14:paraId="2A7D54E9" w14:textId="5E580148" w:rsidR="001D66BB" w:rsidRPr="00533AC2" w:rsidRDefault="001D66BB" w:rsidP="00533AC2">
            <w:pPr>
              <w:pStyle w:val="ListParagraph"/>
              <w:numPr>
                <w:ilvl w:val="0"/>
                <w:numId w:val="18"/>
              </w:numPr>
              <w:rPr>
                <w:iCs/>
              </w:rPr>
            </w:pPr>
            <w:r w:rsidRPr="00D262D6">
              <w:rPr>
                <w:iCs/>
                <w:sz w:val="20"/>
                <w:szCs w:val="20"/>
              </w:rPr>
              <w:t>expect our disadvantaged children to have high aspirations of themselves and the confidence to progress and achieve well in all aspects of their life.</w:t>
            </w:r>
          </w:p>
        </w:tc>
      </w:tr>
    </w:tbl>
    <w:p w14:paraId="2A7D54EB" w14:textId="77777777" w:rsidR="00E66558" w:rsidRDefault="009D71E8">
      <w:pPr>
        <w:pStyle w:val="Heading2"/>
        <w:spacing w:before="600"/>
      </w:pPr>
      <w:r>
        <w:t>Challenges</w:t>
      </w:r>
    </w:p>
    <w:p w14:paraId="2A7D54EC" w14:textId="77777777" w:rsidR="00E66558" w:rsidRPr="00D262D6" w:rsidRDefault="009D71E8" w:rsidP="00AA355B">
      <w:pPr>
        <w:rPr>
          <w:sz w:val="20"/>
          <w:szCs w:val="20"/>
        </w:rPr>
      </w:pPr>
      <w:r w:rsidRPr="00D262D6">
        <w:rPr>
          <w:bCs/>
          <w:sz w:val="20"/>
          <w:szCs w:val="20"/>
        </w:rPr>
        <w:t>This details</w:t>
      </w:r>
      <w:r w:rsidRPr="00D262D6">
        <w:rPr>
          <w:sz w:val="20"/>
          <w:szCs w:val="20"/>
        </w:rPr>
        <w:t xml:space="preserve"> the key</w:t>
      </w:r>
      <w:r w:rsidRPr="00D262D6">
        <w:rPr>
          <w:bCs/>
          <w:sz w:val="20"/>
          <w:szCs w:val="20"/>
        </w:rPr>
        <w:t xml:space="preserve"> </w:t>
      </w:r>
      <w:r w:rsidRPr="00D262D6">
        <w:rPr>
          <w:sz w:val="20"/>
          <w:szCs w:val="20"/>
        </w:rPr>
        <w:t xml:space="preserve">challenges to </w:t>
      </w:r>
      <w:r w:rsidRPr="00D262D6">
        <w:rPr>
          <w:bCs/>
          <w:sz w:val="20"/>
          <w:szCs w:val="20"/>
        </w:rPr>
        <w:t>achievement that we have</w:t>
      </w:r>
      <w:r w:rsidRPr="00D262D6">
        <w:rPr>
          <w:sz w:val="20"/>
          <w:szCs w:val="20"/>
        </w:rPr>
        <w:t xml:space="preserve"> identified among </w:t>
      </w:r>
      <w:r w:rsidRPr="00D262D6">
        <w:rPr>
          <w:bCs/>
          <w:sz w:val="20"/>
          <w:szCs w:val="20"/>
        </w:rPr>
        <w:t>our</w:t>
      </w:r>
      <w:r w:rsidRPr="00D262D6">
        <w:rPr>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D262D6" w:rsidRDefault="009D71E8">
            <w:pPr>
              <w:pStyle w:val="TableRow"/>
              <w:rPr>
                <w:sz w:val="20"/>
                <w:szCs w:val="20"/>
              </w:rPr>
            </w:pPr>
            <w:r w:rsidRPr="00D262D6">
              <w:rPr>
                <w:sz w:val="20"/>
                <w:szCs w:val="20"/>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73009" w14:textId="77777777" w:rsidR="00E66736" w:rsidRPr="00D262D6" w:rsidRDefault="001D66BB">
            <w:pPr>
              <w:pStyle w:val="TableRowCentered"/>
              <w:jc w:val="left"/>
              <w:rPr>
                <w:sz w:val="20"/>
                <w:u w:val="single"/>
              </w:rPr>
            </w:pPr>
            <w:r w:rsidRPr="00D262D6">
              <w:rPr>
                <w:sz w:val="20"/>
                <w:u w:val="single"/>
              </w:rPr>
              <w:t>Poor attendance</w:t>
            </w:r>
            <w:r w:rsidR="009C7BDB" w:rsidRPr="00D262D6">
              <w:rPr>
                <w:sz w:val="20"/>
                <w:u w:val="single"/>
              </w:rPr>
              <w:t>:</w:t>
            </w:r>
          </w:p>
          <w:p w14:paraId="2A7D54F1" w14:textId="640B4CB4" w:rsidR="00E66558" w:rsidRPr="00D262D6" w:rsidRDefault="00E66736">
            <w:pPr>
              <w:pStyle w:val="TableRowCentered"/>
              <w:jc w:val="left"/>
              <w:rPr>
                <w:sz w:val="20"/>
              </w:rPr>
            </w:pPr>
            <w:r w:rsidRPr="00D262D6">
              <w:rPr>
                <w:sz w:val="20"/>
              </w:rPr>
              <w:t xml:space="preserve">Our attendance data since COVID lockdowns remains lower when compared to local schools. Attendance among disadvantaged pupils remains lower than for non-disadvantaged pupils. A higher percentage of disadvantaged pupils have been ‘persistently absent’ compared to non-disadvantaged children. Our assessments and observations indicate that absenteeism is negatively impacting disadvantaged pupils progress. </w:t>
            </w:r>
            <w:r w:rsidR="00C57421" w:rsidRPr="00D262D6">
              <w:rPr>
                <w:sz w:val="20"/>
              </w:rPr>
              <w:t xml:space="preserve">Attendance needs to be closely monitored to ensure pupils can access good quality learning.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224125" w:rsidRDefault="009D71E8">
            <w:pPr>
              <w:pStyle w:val="TableRow"/>
              <w:rPr>
                <w:sz w:val="20"/>
                <w:szCs w:val="20"/>
              </w:rPr>
            </w:pPr>
            <w:r w:rsidRPr="00224125">
              <w:rPr>
                <w:sz w:val="20"/>
                <w:szCs w:val="20"/>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F0982" w14:textId="77777777" w:rsidR="00E66558" w:rsidRPr="00224125" w:rsidRDefault="001D66BB">
            <w:pPr>
              <w:pStyle w:val="TableRowCentered"/>
              <w:jc w:val="left"/>
              <w:rPr>
                <w:sz w:val="20"/>
                <w:u w:val="single"/>
              </w:rPr>
            </w:pPr>
            <w:r w:rsidRPr="00224125">
              <w:rPr>
                <w:sz w:val="20"/>
                <w:u w:val="single"/>
              </w:rPr>
              <w:t>Phonics</w:t>
            </w:r>
            <w:r w:rsidR="009C7BDB" w:rsidRPr="00224125">
              <w:rPr>
                <w:sz w:val="20"/>
                <w:u w:val="single"/>
              </w:rPr>
              <w:t>:</w:t>
            </w:r>
            <w:r w:rsidR="00E66736" w:rsidRPr="00224125">
              <w:rPr>
                <w:sz w:val="20"/>
                <w:u w:val="single"/>
              </w:rPr>
              <w:t xml:space="preserve"> </w:t>
            </w:r>
          </w:p>
          <w:p w14:paraId="2A7D54F4" w14:textId="1F5A1C14" w:rsidR="00E66736" w:rsidRPr="00224125" w:rsidRDefault="00E66736">
            <w:pPr>
              <w:pStyle w:val="TableRowCentered"/>
              <w:jc w:val="left"/>
              <w:rPr>
                <w:sz w:val="20"/>
              </w:rPr>
            </w:pPr>
            <w:r w:rsidRPr="00224125">
              <w:rPr>
                <w:sz w:val="20"/>
              </w:rPr>
              <w:t xml:space="preserve">Assessment data suggest that disadvantaged pupils generally have greater difficulties with phonics than their peers. This negatively impacts their development as readers and also as writers. </w:t>
            </w:r>
            <w:r w:rsidR="007023B5" w:rsidRPr="00224125">
              <w:rPr>
                <w:sz w:val="20"/>
              </w:rPr>
              <w:t xml:space="preserve">Some disadvantaged children do not experience parental engagement at home to reinforce and extend their phonic knowledge. We ensure these children have 1:1 phonics tuition at school and read daily.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224125" w:rsidRDefault="009D71E8">
            <w:pPr>
              <w:pStyle w:val="TableRow"/>
              <w:rPr>
                <w:sz w:val="20"/>
                <w:szCs w:val="20"/>
              </w:rPr>
            </w:pPr>
            <w:r w:rsidRPr="00224125">
              <w:rPr>
                <w:sz w:val="20"/>
                <w:szCs w:val="20"/>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83D5" w14:textId="4C594821" w:rsidR="00E66558" w:rsidRPr="00224125" w:rsidRDefault="00EE33A8">
            <w:pPr>
              <w:pStyle w:val="TableRowCentered"/>
              <w:jc w:val="left"/>
              <w:rPr>
                <w:sz w:val="20"/>
                <w:u w:val="single"/>
              </w:rPr>
            </w:pPr>
            <w:r w:rsidRPr="00224125">
              <w:rPr>
                <w:sz w:val="20"/>
                <w:u w:val="single"/>
              </w:rPr>
              <w:t>Metacognition</w:t>
            </w:r>
            <w:r w:rsidR="009C7BDB" w:rsidRPr="00224125">
              <w:rPr>
                <w:sz w:val="20"/>
                <w:u w:val="single"/>
              </w:rPr>
              <w:t>:</w:t>
            </w:r>
          </w:p>
          <w:p w14:paraId="2A7D54F7" w14:textId="62D6FA23" w:rsidR="00751B9A" w:rsidRPr="00224125" w:rsidRDefault="00751B9A">
            <w:pPr>
              <w:pStyle w:val="TableRowCentered"/>
              <w:jc w:val="left"/>
              <w:rPr>
                <w:sz w:val="20"/>
              </w:rPr>
            </w:pPr>
            <w:r w:rsidRPr="00224125">
              <w:rPr>
                <w:sz w:val="20"/>
              </w:rPr>
              <w:t xml:space="preserve">Disadvantaged pupils do not have a wide range of </w:t>
            </w:r>
            <w:r w:rsidR="009C7BDB" w:rsidRPr="00224125">
              <w:rPr>
                <w:sz w:val="20"/>
              </w:rPr>
              <w:t>metacognitive</w:t>
            </w:r>
            <w:r w:rsidRPr="00224125">
              <w:rPr>
                <w:sz w:val="20"/>
              </w:rPr>
              <w:t xml:space="preserve"> skills to approach </w:t>
            </w:r>
            <w:r w:rsidR="009C7BDB" w:rsidRPr="00224125">
              <w:rPr>
                <w:sz w:val="20"/>
              </w:rPr>
              <w:t xml:space="preserve">their learning with confidence and resilience and as a result, can have poor engagement in learning/learning behaviours and can be easily distracted, discouraged or reluctant to take risks in their learning in order to achieve.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224125" w:rsidRDefault="009D71E8">
            <w:pPr>
              <w:pStyle w:val="TableRow"/>
              <w:rPr>
                <w:sz w:val="20"/>
                <w:szCs w:val="20"/>
              </w:rPr>
            </w:pPr>
            <w:r w:rsidRPr="00224125">
              <w:rPr>
                <w:sz w:val="20"/>
                <w:szCs w:val="20"/>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26B3" w14:textId="38B308BF" w:rsidR="00E66558" w:rsidRPr="00224125" w:rsidRDefault="001D66BB">
            <w:pPr>
              <w:pStyle w:val="TableRowCentered"/>
              <w:jc w:val="left"/>
              <w:rPr>
                <w:iCs/>
                <w:sz w:val="20"/>
                <w:u w:val="single"/>
              </w:rPr>
            </w:pPr>
            <w:r w:rsidRPr="00224125">
              <w:rPr>
                <w:iCs/>
                <w:sz w:val="20"/>
                <w:u w:val="single"/>
              </w:rPr>
              <w:t>Emotional Resilience</w:t>
            </w:r>
            <w:r w:rsidR="00C57421" w:rsidRPr="00224125">
              <w:rPr>
                <w:iCs/>
                <w:sz w:val="20"/>
                <w:u w:val="single"/>
              </w:rPr>
              <w:t>, Trauma</w:t>
            </w:r>
            <w:r w:rsidRPr="00224125">
              <w:rPr>
                <w:iCs/>
                <w:sz w:val="20"/>
                <w:u w:val="single"/>
              </w:rPr>
              <w:t xml:space="preserve"> and Complex Family Situations</w:t>
            </w:r>
            <w:r w:rsidR="009C7BDB" w:rsidRPr="00224125">
              <w:rPr>
                <w:iCs/>
                <w:sz w:val="20"/>
                <w:u w:val="single"/>
              </w:rPr>
              <w:t>:</w:t>
            </w:r>
          </w:p>
          <w:p w14:paraId="2A7D54FA" w14:textId="6573750D" w:rsidR="00EE33A8" w:rsidRPr="00224125" w:rsidRDefault="00EE33A8">
            <w:pPr>
              <w:pStyle w:val="TableRowCentered"/>
              <w:jc w:val="left"/>
              <w:rPr>
                <w:iCs/>
                <w:sz w:val="20"/>
              </w:rPr>
            </w:pPr>
            <w:r w:rsidRPr="00224125">
              <w:rPr>
                <w:iCs/>
                <w:sz w:val="20"/>
              </w:rPr>
              <w:t xml:space="preserve">Many of our </w:t>
            </w:r>
            <w:r w:rsidR="00C57421" w:rsidRPr="00224125">
              <w:rPr>
                <w:iCs/>
                <w:sz w:val="20"/>
              </w:rPr>
              <w:t>disadvantaged</w:t>
            </w:r>
            <w:r w:rsidRPr="00224125">
              <w:rPr>
                <w:iCs/>
                <w:sz w:val="20"/>
              </w:rPr>
              <w:t xml:space="preserve"> children have a high level of </w:t>
            </w:r>
            <w:r w:rsidR="00C57421" w:rsidRPr="00224125">
              <w:rPr>
                <w:iCs/>
                <w:sz w:val="20"/>
              </w:rPr>
              <w:t>emotional</w:t>
            </w:r>
            <w:r w:rsidRPr="00224125">
              <w:rPr>
                <w:iCs/>
                <w:sz w:val="20"/>
              </w:rPr>
              <w:t xml:space="preserve"> needs that hav</w:t>
            </w:r>
            <w:r w:rsidR="00C57421" w:rsidRPr="00224125">
              <w:rPr>
                <w:iCs/>
                <w:sz w:val="20"/>
              </w:rPr>
              <w:t>e</w:t>
            </w:r>
            <w:r w:rsidRPr="00224125">
              <w:rPr>
                <w:iCs/>
                <w:sz w:val="20"/>
              </w:rPr>
              <w:t xml:space="preserve"> to be met </w:t>
            </w:r>
            <w:r w:rsidR="00C57421" w:rsidRPr="00224125">
              <w:rPr>
                <w:iCs/>
                <w:sz w:val="20"/>
              </w:rPr>
              <w:t>before they can fully engage in learning. Disadvantaged pupils can find it hard to express emotions verbally and require access to emotional literacy support to enable them to feel happy, secure and ready to learn. Some of our disadvantaged children have experienced significant trauma and need access to specialised support.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224125" w:rsidRDefault="009D71E8">
            <w:pPr>
              <w:pStyle w:val="TableRow"/>
              <w:rPr>
                <w:sz w:val="20"/>
                <w:szCs w:val="20"/>
              </w:rPr>
            </w:pPr>
            <w:bookmarkStart w:id="17" w:name="_Toc443397160"/>
            <w:r w:rsidRPr="00224125">
              <w:rPr>
                <w:sz w:val="20"/>
                <w:szCs w:val="20"/>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F114" w14:textId="77777777" w:rsidR="00E66558" w:rsidRPr="00224125" w:rsidRDefault="001D66BB">
            <w:pPr>
              <w:pStyle w:val="TableRowCentered"/>
              <w:jc w:val="left"/>
              <w:rPr>
                <w:iCs/>
                <w:sz w:val="20"/>
                <w:u w:val="single"/>
              </w:rPr>
            </w:pPr>
            <w:r w:rsidRPr="00224125">
              <w:rPr>
                <w:iCs/>
                <w:sz w:val="20"/>
                <w:u w:val="single"/>
              </w:rPr>
              <w:t>SEND</w:t>
            </w:r>
            <w:r w:rsidR="009C7BDB" w:rsidRPr="00224125">
              <w:rPr>
                <w:iCs/>
                <w:sz w:val="20"/>
                <w:u w:val="single"/>
              </w:rPr>
              <w:t>:</w:t>
            </w:r>
          </w:p>
          <w:p w14:paraId="2A7D54FD" w14:textId="71A3F390" w:rsidR="009C7BDB" w:rsidRPr="00224125" w:rsidRDefault="009C7BDB">
            <w:pPr>
              <w:pStyle w:val="TableRowCentered"/>
              <w:jc w:val="left"/>
              <w:rPr>
                <w:iCs/>
                <w:sz w:val="20"/>
              </w:rPr>
            </w:pPr>
            <w:r w:rsidRPr="00224125">
              <w:rPr>
                <w:iCs/>
                <w:sz w:val="20"/>
              </w:rPr>
              <w:t xml:space="preserve">Of the pupils in receipt of Pupil Premium, </w:t>
            </w:r>
            <w:r w:rsidR="007023B5" w:rsidRPr="00224125">
              <w:rPr>
                <w:iCs/>
                <w:sz w:val="20"/>
              </w:rPr>
              <w:t>43</w:t>
            </w:r>
            <w:r w:rsidRPr="00224125">
              <w:rPr>
                <w:iCs/>
                <w:sz w:val="20"/>
              </w:rPr>
              <w:t xml:space="preserve">% of them also have an identified Special Educational Need, therefore indicating that they have a significant additional disadvantage affecting their attainment outcomes. </w:t>
            </w:r>
            <w:r w:rsidR="007023B5" w:rsidRPr="00224125">
              <w:rPr>
                <w:iCs/>
                <w:sz w:val="20"/>
              </w:rPr>
              <w:t>Of these children, 32% have an EHCP. This is more than the national average. Out of the 12 children in our Speech and Language Resource, 9 are in receipt of PP and each of these 9 children have an EHCP.</w:t>
            </w:r>
          </w:p>
        </w:tc>
      </w:tr>
      <w:tr w:rsidR="001D66BB" w14:paraId="1E4B4E8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67015" w14:textId="687C1CEA" w:rsidR="001D66BB" w:rsidRPr="00224125" w:rsidRDefault="00751B9A">
            <w:pPr>
              <w:pStyle w:val="TableRow"/>
              <w:rPr>
                <w:sz w:val="20"/>
                <w:szCs w:val="20"/>
              </w:rPr>
            </w:pPr>
            <w:r w:rsidRPr="00224125">
              <w:rPr>
                <w:sz w:val="20"/>
                <w:szCs w:val="20"/>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A6D6" w14:textId="77777777" w:rsidR="001D66BB" w:rsidRPr="00224125" w:rsidRDefault="00C57421">
            <w:pPr>
              <w:pStyle w:val="TableRowCentered"/>
              <w:jc w:val="left"/>
              <w:rPr>
                <w:iCs/>
                <w:sz w:val="20"/>
                <w:u w:val="single"/>
              </w:rPr>
            </w:pPr>
            <w:r w:rsidRPr="00224125">
              <w:rPr>
                <w:iCs/>
                <w:sz w:val="20"/>
                <w:u w:val="single"/>
              </w:rPr>
              <w:t>Cognitive Load</w:t>
            </w:r>
            <w:r w:rsidR="009C7BDB" w:rsidRPr="00224125">
              <w:rPr>
                <w:iCs/>
                <w:sz w:val="20"/>
                <w:u w:val="single"/>
              </w:rPr>
              <w:t>:</w:t>
            </w:r>
            <w:r w:rsidR="00EE33A8" w:rsidRPr="00224125">
              <w:rPr>
                <w:iCs/>
                <w:sz w:val="20"/>
                <w:u w:val="single"/>
              </w:rPr>
              <w:t xml:space="preserve"> </w:t>
            </w:r>
          </w:p>
          <w:p w14:paraId="76D68222" w14:textId="37E92EE8" w:rsidR="00C57421" w:rsidRPr="00224125" w:rsidRDefault="00C57421">
            <w:pPr>
              <w:pStyle w:val="TableRowCentered"/>
              <w:jc w:val="left"/>
              <w:rPr>
                <w:iCs/>
                <w:sz w:val="20"/>
              </w:rPr>
            </w:pPr>
            <w:r w:rsidRPr="00224125">
              <w:rPr>
                <w:iCs/>
                <w:sz w:val="20"/>
              </w:rPr>
              <w:t xml:space="preserve">Teachers have begun to utilise strategies to reduce cognitive load in lessons through the use of scaffolding. These strategies are not yet consistently embedded enough for disadvantaged children to achieve age related expectations. </w:t>
            </w:r>
          </w:p>
        </w:tc>
      </w:tr>
      <w:tr w:rsidR="001D66BB" w14:paraId="6BDBE26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39AC9" w14:textId="7C6E3B1C" w:rsidR="001D66BB" w:rsidRPr="00224125" w:rsidRDefault="00751B9A">
            <w:pPr>
              <w:pStyle w:val="TableRow"/>
              <w:rPr>
                <w:sz w:val="20"/>
                <w:szCs w:val="20"/>
              </w:rPr>
            </w:pPr>
            <w:r w:rsidRPr="00224125">
              <w:rPr>
                <w:sz w:val="20"/>
                <w:szCs w:val="20"/>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A27C" w14:textId="77777777" w:rsidR="009C7BDB" w:rsidRPr="00224125" w:rsidRDefault="001D66BB" w:rsidP="009C7BDB">
            <w:pPr>
              <w:pStyle w:val="TableRowCentered"/>
              <w:tabs>
                <w:tab w:val="center" w:pos="3896"/>
              </w:tabs>
              <w:jc w:val="left"/>
              <w:rPr>
                <w:iCs/>
                <w:sz w:val="20"/>
                <w:u w:val="single"/>
              </w:rPr>
            </w:pPr>
            <w:r w:rsidRPr="00224125">
              <w:rPr>
                <w:iCs/>
                <w:sz w:val="20"/>
                <w:u w:val="single"/>
              </w:rPr>
              <w:t>Low entry points to Reception</w:t>
            </w:r>
            <w:r w:rsidR="009C7BDB" w:rsidRPr="00224125">
              <w:rPr>
                <w:iCs/>
                <w:sz w:val="20"/>
                <w:u w:val="single"/>
              </w:rPr>
              <w:t>:</w:t>
            </w:r>
          </w:p>
          <w:p w14:paraId="5105F02E" w14:textId="4A728F36" w:rsidR="001D66BB" w:rsidRPr="00224125" w:rsidRDefault="009C7BDB" w:rsidP="009C7BDB">
            <w:pPr>
              <w:pStyle w:val="TableRowCentered"/>
              <w:tabs>
                <w:tab w:val="center" w:pos="3896"/>
              </w:tabs>
              <w:jc w:val="left"/>
              <w:rPr>
                <w:iCs/>
                <w:sz w:val="20"/>
              </w:rPr>
            </w:pPr>
            <w:r w:rsidRPr="00224125">
              <w:rPr>
                <w:iCs/>
                <w:sz w:val="20"/>
              </w:rPr>
              <w:t xml:space="preserve">Observations and Baseline assessment data has indicated that disadvantaged children on entry to Reception, are generally not ready to learn. In addition to language difficulties, they have poor physical skills, poor self-regulation skills and don’t display good characteristics of learning. </w:t>
            </w:r>
            <w:r w:rsidRPr="00224125">
              <w:rPr>
                <w:iCs/>
                <w:sz w:val="20"/>
              </w:rPr>
              <w:tab/>
            </w:r>
          </w:p>
        </w:tc>
      </w:tr>
      <w:tr w:rsidR="001D66BB" w14:paraId="030B75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F915" w14:textId="2BDE95E9" w:rsidR="001D66BB" w:rsidRPr="00224125" w:rsidRDefault="00751B9A">
            <w:pPr>
              <w:pStyle w:val="TableRow"/>
              <w:rPr>
                <w:sz w:val="20"/>
                <w:szCs w:val="20"/>
              </w:rPr>
            </w:pPr>
            <w:r w:rsidRPr="00224125">
              <w:rPr>
                <w:sz w:val="20"/>
                <w:szCs w:val="20"/>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9E08" w14:textId="0841E567" w:rsidR="00E66736" w:rsidRPr="00224125" w:rsidRDefault="00E66736">
            <w:pPr>
              <w:pStyle w:val="TableRowCentered"/>
              <w:jc w:val="left"/>
              <w:rPr>
                <w:iCs/>
                <w:sz w:val="20"/>
                <w:u w:val="single"/>
              </w:rPr>
            </w:pPr>
            <w:r w:rsidRPr="00224125">
              <w:rPr>
                <w:iCs/>
                <w:sz w:val="20"/>
                <w:u w:val="single"/>
              </w:rPr>
              <w:t>Continuing impact of COVID:</w:t>
            </w:r>
          </w:p>
          <w:p w14:paraId="630A565D" w14:textId="5431B9DC" w:rsidR="00E66736" w:rsidRPr="00224125" w:rsidRDefault="00E66736">
            <w:pPr>
              <w:pStyle w:val="TableRowCentered"/>
              <w:jc w:val="left"/>
              <w:rPr>
                <w:iCs/>
                <w:sz w:val="20"/>
              </w:rPr>
            </w:pPr>
            <w:r w:rsidRPr="00224125">
              <w:rPr>
                <w:iCs/>
                <w:sz w:val="20"/>
              </w:rPr>
              <w:t xml:space="preserve">Our assessments and observations indicate that the education and wellbeing of many of our disadvantaged pupils was impacted by the partial school closures to a greater extent than for other pupils. These findings are supported by national studies. </w:t>
            </w:r>
          </w:p>
          <w:p w14:paraId="0A1C8448" w14:textId="6C636727" w:rsidR="001D66BB" w:rsidRPr="00224125" w:rsidRDefault="00E66736" w:rsidP="00EE33A8">
            <w:pPr>
              <w:pStyle w:val="TableRowCentered"/>
              <w:jc w:val="left"/>
              <w:rPr>
                <w:iCs/>
                <w:sz w:val="20"/>
              </w:rPr>
            </w:pPr>
            <w:r w:rsidRPr="00224125">
              <w:rPr>
                <w:iCs/>
                <w:sz w:val="20"/>
              </w:rPr>
              <w:t xml:space="preserve">This has resulted in significant knowledge gaps leading to pupils falling further </w:t>
            </w:r>
            <w:r w:rsidR="00EE33A8" w:rsidRPr="00224125">
              <w:rPr>
                <w:iCs/>
                <w:sz w:val="20"/>
              </w:rPr>
              <w:t>behind age related expectations. At the end of K</w:t>
            </w:r>
            <w:r w:rsidR="007023B5" w:rsidRPr="00224125">
              <w:rPr>
                <w:iCs/>
                <w:sz w:val="20"/>
              </w:rPr>
              <w:t>ey Stage One</w:t>
            </w:r>
            <w:r w:rsidR="00EE33A8" w:rsidRPr="00224125">
              <w:rPr>
                <w:iCs/>
                <w:sz w:val="20"/>
              </w:rPr>
              <w:t xml:space="preserve"> and K</w:t>
            </w:r>
            <w:r w:rsidR="007023B5" w:rsidRPr="00224125">
              <w:rPr>
                <w:iCs/>
                <w:sz w:val="20"/>
              </w:rPr>
              <w:t>ey Stage Two</w:t>
            </w:r>
            <w:r w:rsidR="00EE33A8" w:rsidRPr="00224125">
              <w:rPr>
                <w:iCs/>
                <w:sz w:val="20"/>
              </w:rPr>
              <w:t>, there is a greater number of disadvantaged children not reaching age related expectations in maths, reading and writing, than there are non-disadvantaged children. These pupils will require additional interventions to close gaps.</w:t>
            </w:r>
          </w:p>
        </w:tc>
      </w:tr>
      <w:tr w:rsidR="001D66BB" w14:paraId="70AD624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B9495" w14:textId="05AA473D" w:rsidR="001D66BB" w:rsidRPr="00224125" w:rsidRDefault="00751B9A">
            <w:pPr>
              <w:pStyle w:val="TableRow"/>
              <w:rPr>
                <w:sz w:val="20"/>
                <w:szCs w:val="20"/>
              </w:rPr>
            </w:pPr>
            <w:r w:rsidRPr="00224125">
              <w:rPr>
                <w:sz w:val="20"/>
                <w:szCs w:val="20"/>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E8C41" w14:textId="1BD07A08" w:rsidR="001D66BB" w:rsidRPr="00224125" w:rsidRDefault="001D66BB">
            <w:pPr>
              <w:pStyle w:val="TableRowCentered"/>
              <w:jc w:val="left"/>
              <w:rPr>
                <w:iCs/>
                <w:sz w:val="20"/>
                <w:u w:val="single"/>
              </w:rPr>
            </w:pPr>
            <w:r w:rsidRPr="00224125">
              <w:rPr>
                <w:iCs/>
                <w:sz w:val="20"/>
                <w:u w:val="single"/>
              </w:rPr>
              <w:t>Vocabulary</w:t>
            </w:r>
            <w:r w:rsidR="009C7BDB" w:rsidRPr="00224125">
              <w:rPr>
                <w:iCs/>
                <w:sz w:val="20"/>
                <w:u w:val="single"/>
              </w:rPr>
              <w:t>:</w:t>
            </w:r>
            <w:r w:rsidRPr="00224125">
              <w:rPr>
                <w:iCs/>
                <w:sz w:val="20"/>
                <w:u w:val="single"/>
              </w:rPr>
              <w:t xml:space="preserve"> </w:t>
            </w:r>
          </w:p>
          <w:p w14:paraId="657FBE1E" w14:textId="0D6FB4C8" w:rsidR="009C7BDB" w:rsidRPr="00224125" w:rsidRDefault="009C7BDB">
            <w:pPr>
              <w:pStyle w:val="TableRowCentered"/>
              <w:jc w:val="left"/>
              <w:rPr>
                <w:iCs/>
                <w:sz w:val="20"/>
              </w:rPr>
            </w:pPr>
            <w:r w:rsidRPr="00224125">
              <w:rPr>
                <w:iCs/>
                <w:sz w:val="20"/>
              </w:rPr>
              <w:lastRenderedPageBreak/>
              <w:t xml:space="preserve">Observations and discussions with pupils indicate underdeveloped oral language skills and vocabulary gaps among many disadvantaged pupils. These are evident from EYFS through to Key Stage Two and in general are more prevalent among our disadvantaged pupils than their peers. </w:t>
            </w:r>
            <w:r w:rsidR="00C57421" w:rsidRPr="00224125">
              <w:rPr>
                <w:iCs/>
                <w:sz w:val="20"/>
              </w:rPr>
              <w:t xml:space="preserve">Poor language levels and vocabulary can hinder progress across the curriculum. Many children also have speech, language and communication difficulties that also impacts on progress across the curriculum. </w:t>
            </w:r>
          </w:p>
        </w:tc>
      </w:tr>
    </w:tbl>
    <w:p w14:paraId="2A7D54FF" w14:textId="77777777" w:rsidR="00E66558" w:rsidRDefault="009D71E8">
      <w:pPr>
        <w:pStyle w:val="Heading2"/>
        <w:spacing w:before="600"/>
      </w:pPr>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2481332" w:rsidR="00E66558" w:rsidRPr="00224125" w:rsidRDefault="0063178D">
            <w:pPr>
              <w:pStyle w:val="TableRow"/>
              <w:rPr>
                <w:sz w:val="20"/>
                <w:szCs w:val="20"/>
              </w:rPr>
            </w:pPr>
            <w:r w:rsidRPr="00224125">
              <w:rPr>
                <w:iCs/>
                <w:sz w:val="20"/>
                <w:szCs w:val="20"/>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2CF9E609" w:rsidR="00E66558" w:rsidRPr="00224125" w:rsidRDefault="0063178D">
            <w:pPr>
              <w:pStyle w:val="TableRowCentered"/>
              <w:jc w:val="left"/>
              <w:rPr>
                <w:sz w:val="20"/>
              </w:rPr>
            </w:pPr>
            <w:r w:rsidRPr="00224125">
              <w:rPr>
                <w:sz w:val="20"/>
              </w:rPr>
              <w:t xml:space="preserve">Assessments and observations indicate significantly improved oral language skills among disadvantaged pupils. This is evident when triangulated with other sources of evidence, including engagement in lessons, book scrutiny and on-going formative assessment.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4B3110A" w:rsidR="00E66558" w:rsidRPr="00224125" w:rsidRDefault="0063178D">
            <w:pPr>
              <w:pStyle w:val="TableRow"/>
              <w:rPr>
                <w:sz w:val="20"/>
                <w:szCs w:val="20"/>
              </w:rPr>
            </w:pPr>
            <w:r w:rsidRPr="00224125">
              <w:rPr>
                <w:sz w:val="20"/>
                <w:szCs w:val="20"/>
              </w:rPr>
              <w:t xml:space="preserve">Improved reading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425A4F8" w:rsidR="00E66558" w:rsidRPr="00224125" w:rsidRDefault="0063178D">
            <w:pPr>
              <w:pStyle w:val="TableRowCentered"/>
              <w:jc w:val="left"/>
              <w:rPr>
                <w:sz w:val="20"/>
              </w:rPr>
            </w:pPr>
            <w:r w:rsidRPr="00224125">
              <w:rPr>
                <w:sz w:val="20"/>
              </w:rPr>
              <w:t xml:space="preserve">Key Stage Two reading outcomes in 2024-2025 of the percentage of disadvantaged pupils meeting the expected standard are in line with the national average.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75D9DF6" w:rsidR="00E66558" w:rsidRPr="00224125" w:rsidRDefault="0063178D">
            <w:pPr>
              <w:pStyle w:val="TableRow"/>
              <w:rPr>
                <w:sz w:val="20"/>
                <w:szCs w:val="20"/>
              </w:rPr>
            </w:pPr>
            <w:r w:rsidRPr="00224125">
              <w:rPr>
                <w:sz w:val="20"/>
                <w:szCs w:val="20"/>
              </w:rPr>
              <w:t xml:space="preserve">Improved phonics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170775A3" w:rsidR="00E66558" w:rsidRPr="00224125" w:rsidRDefault="0063178D">
            <w:pPr>
              <w:pStyle w:val="TableRowCentered"/>
              <w:jc w:val="left"/>
              <w:rPr>
                <w:sz w:val="20"/>
              </w:rPr>
            </w:pPr>
            <w:r w:rsidRPr="00224125">
              <w:rPr>
                <w:sz w:val="20"/>
              </w:rPr>
              <w:t xml:space="preserve">Year 1 phonics screening outcomes in 2024-2025 of the percentage of disadvantaged pupils meeting the expected standard are in line with the national average.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B4C438B" w:rsidR="00E66558" w:rsidRPr="00224125" w:rsidRDefault="0063178D">
            <w:pPr>
              <w:pStyle w:val="TableRow"/>
              <w:rPr>
                <w:sz w:val="20"/>
                <w:szCs w:val="20"/>
              </w:rPr>
            </w:pPr>
            <w:r w:rsidRPr="00224125">
              <w:rPr>
                <w:sz w:val="20"/>
                <w:szCs w:val="20"/>
              </w:rPr>
              <w:t xml:space="preserve">To achieve and sustain improved wellbeing for all pupils in our school, particularly our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C4BC" w14:textId="77777777" w:rsidR="00E66558" w:rsidRPr="00224125" w:rsidRDefault="0063178D">
            <w:pPr>
              <w:pStyle w:val="TableRowCentered"/>
              <w:jc w:val="left"/>
              <w:rPr>
                <w:sz w:val="20"/>
              </w:rPr>
            </w:pPr>
            <w:r w:rsidRPr="00224125">
              <w:rPr>
                <w:sz w:val="20"/>
              </w:rPr>
              <w:t>Sustained high levels of wellbeing from 2024/2025 demonstrated by:</w:t>
            </w:r>
          </w:p>
          <w:p w14:paraId="7EB63449" w14:textId="5F4777B1" w:rsidR="0063178D" w:rsidRPr="00224125" w:rsidRDefault="00165A71" w:rsidP="00165A71">
            <w:pPr>
              <w:pStyle w:val="TableRowCentered"/>
              <w:numPr>
                <w:ilvl w:val="0"/>
                <w:numId w:val="20"/>
              </w:numPr>
              <w:jc w:val="left"/>
              <w:rPr>
                <w:sz w:val="20"/>
              </w:rPr>
            </w:pPr>
            <w:r w:rsidRPr="00224125">
              <w:rPr>
                <w:sz w:val="20"/>
              </w:rPr>
              <w:t>q</w:t>
            </w:r>
            <w:r w:rsidR="0063178D" w:rsidRPr="00224125">
              <w:rPr>
                <w:sz w:val="20"/>
              </w:rPr>
              <w:t>ualitative data from student voice, student and parent surveys and teacher observations</w:t>
            </w:r>
          </w:p>
          <w:p w14:paraId="157D73DE" w14:textId="2BC8638E" w:rsidR="0063178D" w:rsidRPr="00224125" w:rsidRDefault="00165A71" w:rsidP="00165A71">
            <w:pPr>
              <w:pStyle w:val="TableRowCentered"/>
              <w:numPr>
                <w:ilvl w:val="0"/>
                <w:numId w:val="20"/>
              </w:numPr>
              <w:jc w:val="left"/>
              <w:rPr>
                <w:sz w:val="20"/>
              </w:rPr>
            </w:pPr>
            <w:r w:rsidRPr="00224125">
              <w:rPr>
                <w:sz w:val="20"/>
              </w:rPr>
              <w:t>a</w:t>
            </w:r>
            <w:r w:rsidR="0063178D" w:rsidRPr="00224125">
              <w:rPr>
                <w:sz w:val="20"/>
              </w:rPr>
              <w:t xml:space="preserve"> significant reduction in bullying</w:t>
            </w:r>
          </w:p>
          <w:p w14:paraId="2A7D550E" w14:textId="685776BD" w:rsidR="0063178D" w:rsidRPr="00224125" w:rsidRDefault="00165A71" w:rsidP="00165A71">
            <w:pPr>
              <w:pStyle w:val="TableRowCentered"/>
              <w:numPr>
                <w:ilvl w:val="0"/>
                <w:numId w:val="20"/>
              </w:numPr>
              <w:jc w:val="left"/>
              <w:rPr>
                <w:sz w:val="20"/>
              </w:rPr>
            </w:pPr>
            <w:r w:rsidRPr="00224125">
              <w:rPr>
                <w:sz w:val="20"/>
              </w:rPr>
              <w:t>a</w:t>
            </w:r>
            <w:r w:rsidR="0063178D" w:rsidRPr="00224125">
              <w:rPr>
                <w:sz w:val="20"/>
              </w:rPr>
              <w:t xml:space="preserve"> significant increase in participation in enrichment activities, particularly among disadvantaged pupils</w:t>
            </w:r>
          </w:p>
        </w:tc>
      </w:tr>
      <w:tr w:rsidR="00165A71" w14:paraId="13D46B9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8F8B3" w14:textId="1500D662" w:rsidR="00165A71" w:rsidRPr="00224125" w:rsidRDefault="00165A71">
            <w:pPr>
              <w:pStyle w:val="TableRow"/>
              <w:rPr>
                <w:sz w:val="20"/>
                <w:szCs w:val="20"/>
              </w:rPr>
            </w:pPr>
            <w:r w:rsidRPr="00224125">
              <w:rPr>
                <w:sz w:val="20"/>
                <w:szCs w:val="20"/>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F14F" w14:textId="3A62F778" w:rsidR="00165A71" w:rsidRPr="00224125" w:rsidRDefault="00165A71">
            <w:pPr>
              <w:pStyle w:val="TableRowCentered"/>
              <w:jc w:val="left"/>
              <w:rPr>
                <w:sz w:val="20"/>
              </w:rPr>
            </w:pPr>
            <w:r w:rsidRPr="00224125">
              <w:rPr>
                <w:sz w:val="20"/>
              </w:rPr>
              <w:t>Sustained high attendance from 2024/2025 demonstrated by:</w:t>
            </w:r>
          </w:p>
          <w:p w14:paraId="05D9E936" w14:textId="004B5C38" w:rsidR="00165A71" w:rsidRPr="00224125" w:rsidRDefault="00165A71" w:rsidP="00165A71">
            <w:pPr>
              <w:pStyle w:val="TableRowCentered"/>
              <w:numPr>
                <w:ilvl w:val="0"/>
                <w:numId w:val="21"/>
              </w:numPr>
              <w:jc w:val="left"/>
              <w:rPr>
                <w:sz w:val="20"/>
              </w:rPr>
            </w:pPr>
            <w:r w:rsidRPr="00224125">
              <w:rPr>
                <w:sz w:val="20"/>
              </w:rPr>
              <w:t>the overall absence rate for all pupils being no more than 5% and for there to be no attendance gap between disadvantaged pupils and their non-disadvantaged peers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lastRenderedPageBreak/>
        <w:t>Teaching (for example, CPD, recruitment and retention)</w:t>
      </w:r>
    </w:p>
    <w:p w14:paraId="2A7D5515" w14:textId="6F238AE7" w:rsidR="00E66558" w:rsidRDefault="009D71E8">
      <w:r>
        <w:t xml:space="preserve">Budgeted cost: </w:t>
      </w:r>
      <w:bookmarkStart w:id="18" w:name="_Hlk156560841"/>
      <w:bookmarkStart w:id="19" w:name="_Hlk185502894"/>
      <w:r>
        <w:t>£</w:t>
      </w:r>
      <w:bookmarkEnd w:id="18"/>
      <w:r w:rsidR="00002FC7">
        <w:t>57,582.71</w:t>
      </w:r>
      <w:bookmarkEnd w:id="19"/>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062B3FD" w:rsidR="00E66558" w:rsidRPr="00224125" w:rsidRDefault="00165A71">
            <w:pPr>
              <w:pStyle w:val="TableRow"/>
              <w:rPr>
                <w:sz w:val="20"/>
                <w:szCs w:val="20"/>
              </w:rPr>
            </w:pPr>
            <w:r w:rsidRPr="00224125">
              <w:rPr>
                <w:sz w:val="20"/>
                <w:szCs w:val="20"/>
              </w:rPr>
              <w:t>Vocabulary Ninja-whole school subscription to support teachers with teaching and developing the use of vocabulary-£139</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709E89EE" w:rsidR="00E66558" w:rsidRPr="00224125" w:rsidRDefault="00165A71">
            <w:pPr>
              <w:pStyle w:val="TableRowCentered"/>
              <w:jc w:val="left"/>
              <w:rPr>
                <w:sz w:val="20"/>
              </w:rPr>
            </w:pPr>
            <w:r w:rsidRPr="00224125">
              <w:rPr>
                <w:sz w:val="20"/>
              </w:rPr>
              <w:t>Education Endowment Foundation: Technology and other resources focussed on supporting high quality teaching and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90EBD71" w:rsidR="00E66558" w:rsidRPr="00224125" w:rsidRDefault="00165A71" w:rsidP="00240267">
            <w:pPr>
              <w:pStyle w:val="TableRowCentered"/>
              <w:ind w:left="0"/>
              <w:jc w:val="left"/>
              <w:rPr>
                <w:sz w:val="20"/>
              </w:rPr>
            </w:pPr>
            <w:r w:rsidRPr="00224125">
              <w:rPr>
                <w:sz w:val="20"/>
              </w:rPr>
              <w:t>6, 8, 9</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60B9783" w:rsidR="00E66558" w:rsidRPr="00C82F26" w:rsidRDefault="00AE3B74">
            <w:pPr>
              <w:pStyle w:val="TableRow"/>
              <w:rPr>
                <w:sz w:val="20"/>
                <w:szCs w:val="20"/>
              </w:rPr>
            </w:pPr>
            <w:r w:rsidRPr="00C82F26">
              <w:rPr>
                <w:sz w:val="20"/>
                <w:szCs w:val="20"/>
              </w:rPr>
              <w:t>White Rose Maths CPD ‘Reasoning and Problem Solving’ 2 hours from £565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3E98D2CA" w:rsidR="00E66558" w:rsidRPr="00C82F26" w:rsidRDefault="00AE3B74">
            <w:pPr>
              <w:pStyle w:val="TableRowCentered"/>
              <w:jc w:val="left"/>
              <w:rPr>
                <w:sz w:val="20"/>
              </w:rPr>
            </w:pPr>
            <w:r w:rsidRPr="00C82F26">
              <w:rPr>
                <w:sz w:val="20"/>
              </w:rPr>
              <w:t>Education Endowment Foundation: Professional development on evidence-based approaches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CEFEBA3" w:rsidR="00E66558" w:rsidRPr="00C82F26" w:rsidRDefault="00AE3B74" w:rsidP="00240267">
            <w:pPr>
              <w:pStyle w:val="TableRowCentered"/>
              <w:ind w:left="0"/>
              <w:jc w:val="left"/>
              <w:rPr>
                <w:sz w:val="20"/>
              </w:rPr>
            </w:pPr>
            <w:r w:rsidRPr="00C82F26">
              <w:rPr>
                <w:sz w:val="20"/>
              </w:rPr>
              <w:t>6, 7. 8. 9</w:t>
            </w:r>
          </w:p>
        </w:tc>
      </w:tr>
      <w:tr w:rsidR="00AE3B74" w14:paraId="4DBAA97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A106" w14:textId="70FB8F4B" w:rsidR="00AE3B74" w:rsidRPr="00C82F26" w:rsidRDefault="00AE3B74">
            <w:pPr>
              <w:pStyle w:val="TableRow"/>
              <w:rPr>
                <w:sz w:val="20"/>
                <w:szCs w:val="20"/>
              </w:rPr>
            </w:pPr>
            <w:r w:rsidRPr="00C82F26">
              <w:rPr>
                <w:sz w:val="20"/>
                <w:szCs w:val="20"/>
              </w:rPr>
              <w:t>Support for teachers in making alternative curriculum plans and learning journeys for identified disadvantaged children with challenging SEND-one day supply cover £200 x 15 teachers=£3000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F567F" w14:textId="01AABB3D" w:rsidR="00AE3B74" w:rsidRPr="00C82F26" w:rsidRDefault="00AE3B74">
            <w:pPr>
              <w:pStyle w:val="TableRowCentered"/>
              <w:jc w:val="left"/>
              <w:rPr>
                <w:sz w:val="20"/>
              </w:rPr>
            </w:pPr>
            <w:r w:rsidRPr="00C82F26">
              <w:rPr>
                <w:sz w:val="20"/>
              </w:rPr>
              <w:t xml:space="preserve">Education Endowment Foundation: Developing high quality teaching, assessment and a curriculum which responds to the needs of children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60E98" w14:textId="74E4D32F" w:rsidR="00AE3B74" w:rsidRPr="00C82F26" w:rsidRDefault="00AE3B74" w:rsidP="00240267">
            <w:pPr>
              <w:pStyle w:val="TableRowCentered"/>
              <w:ind w:left="0"/>
              <w:jc w:val="left"/>
              <w:rPr>
                <w:sz w:val="20"/>
              </w:rPr>
            </w:pPr>
            <w:r w:rsidRPr="00C82F26">
              <w:rPr>
                <w:sz w:val="20"/>
              </w:rPr>
              <w:t>1, 2, 3, 4, 5, 6, 7, 8, 9</w:t>
            </w:r>
          </w:p>
        </w:tc>
      </w:tr>
      <w:tr w:rsidR="00AE3B74" w14:paraId="6B9D3D0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C519" w14:textId="1BCD18A2" w:rsidR="00AE3B74" w:rsidRPr="00C82F26" w:rsidRDefault="00AE3B74">
            <w:pPr>
              <w:pStyle w:val="TableRow"/>
              <w:rPr>
                <w:sz w:val="20"/>
                <w:szCs w:val="20"/>
              </w:rPr>
            </w:pPr>
            <w:r w:rsidRPr="00C82F26">
              <w:rPr>
                <w:sz w:val="20"/>
                <w:szCs w:val="20"/>
              </w:rPr>
              <w:t xml:space="preserve">Autism Learns ‘Understanding Demand Avoidance and Autism (PDA)’ </w:t>
            </w:r>
            <w:proofErr w:type="gramStart"/>
            <w:r w:rsidRPr="00C82F26">
              <w:rPr>
                <w:sz w:val="20"/>
                <w:szCs w:val="20"/>
              </w:rPr>
              <w:t>2 day</w:t>
            </w:r>
            <w:proofErr w:type="gramEnd"/>
            <w:r w:rsidRPr="00C82F26">
              <w:rPr>
                <w:sz w:val="20"/>
                <w:szCs w:val="20"/>
              </w:rPr>
              <w:t xml:space="preserve"> online training for Inclusion Lead </w:t>
            </w:r>
          </w:p>
          <w:p w14:paraId="597AAC89" w14:textId="604DE4CF" w:rsidR="00AE3B74" w:rsidRPr="00C82F26" w:rsidRDefault="00AE3B74">
            <w:pPr>
              <w:pStyle w:val="TableRow"/>
              <w:rPr>
                <w:sz w:val="20"/>
                <w:szCs w:val="20"/>
              </w:rPr>
            </w:pPr>
            <w:r w:rsidRPr="00C82F26">
              <w:rPr>
                <w:sz w:val="20"/>
                <w:szCs w:val="20"/>
              </w:rPr>
              <w:t>£74.99</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C0CD" w14:textId="77777777" w:rsidR="00AE3B74" w:rsidRPr="00C82F26" w:rsidRDefault="00AE3B74">
            <w:pPr>
              <w:pStyle w:val="TableRowCentered"/>
              <w:jc w:val="left"/>
              <w:rPr>
                <w:sz w:val="20"/>
              </w:rPr>
            </w:pPr>
            <w:r w:rsidRPr="00C82F26">
              <w:rPr>
                <w:sz w:val="20"/>
              </w:rPr>
              <w:t>Education Endowment Foundation</w:t>
            </w:r>
            <w:r w:rsidR="00240267" w:rsidRPr="00C82F26">
              <w:rPr>
                <w:sz w:val="20"/>
              </w:rPr>
              <w:t>:</w:t>
            </w:r>
          </w:p>
          <w:p w14:paraId="5239DD28" w14:textId="37604C73" w:rsidR="00240267" w:rsidRPr="00C82F26" w:rsidRDefault="00240267">
            <w:pPr>
              <w:pStyle w:val="TableRowCentered"/>
              <w:jc w:val="left"/>
              <w:rPr>
                <w:sz w:val="20"/>
              </w:rPr>
            </w:pPr>
            <w:r w:rsidRPr="00C82F26">
              <w:rPr>
                <w:sz w:val="20"/>
              </w:rPr>
              <w:t>Activity and resources to meet the specific needs of disadvantaged pupils with SEND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63C1F" w14:textId="13958913" w:rsidR="00AE3B74" w:rsidRPr="00C82F26" w:rsidRDefault="00240267" w:rsidP="00240267">
            <w:pPr>
              <w:pStyle w:val="TableRowCentered"/>
              <w:ind w:left="0"/>
              <w:jc w:val="left"/>
              <w:rPr>
                <w:sz w:val="20"/>
              </w:rPr>
            </w:pPr>
            <w:r w:rsidRPr="00C82F26">
              <w:rPr>
                <w:sz w:val="20"/>
              </w:rPr>
              <w:t>1, 4, 5</w:t>
            </w:r>
          </w:p>
        </w:tc>
      </w:tr>
      <w:tr w:rsidR="00240267" w14:paraId="163201B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D22AF" w14:textId="75304DB8" w:rsidR="00240267" w:rsidRPr="00C82F26" w:rsidRDefault="00240267">
            <w:pPr>
              <w:pStyle w:val="TableRow"/>
              <w:rPr>
                <w:sz w:val="20"/>
                <w:szCs w:val="20"/>
              </w:rPr>
            </w:pPr>
            <w:r w:rsidRPr="00C82F26">
              <w:rPr>
                <w:sz w:val="20"/>
                <w:szCs w:val="20"/>
              </w:rPr>
              <w:t>Reading Fluency Staff Meeting for teachers led by English Subject Lead-supply cover to prepare £200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D3BB" w14:textId="77777777" w:rsidR="00240267" w:rsidRPr="00C82F26" w:rsidRDefault="00240267">
            <w:pPr>
              <w:pStyle w:val="TableRowCentered"/>
              <w:jc w:val="left"/>
              <w:rPr>
                <w:sz w:val="20"/>
              </w:rPr>
            </w:pPr>
            <w:r w:rsidRPr="00C82F26">
              <w:rPr>
                <w:sz w:val="20"/>
              </w:rPr>
              <w:t>Education Endowment Foundation:</w:t>
            </w:r>
          </w:p>
          <w:p w14:paraId="0E3B51CC" w14:textId="77777777" w:rsidR="00240267" w:rsidRPr="00C82F26" w:rsidRDefault="00240267">
            <w:pPr>
              <w:pStyle w:val="TableRowCentered"/>
              <w:jc w:val="left"/>
              <w:rPr>
                <w:sz w:val="20"/>
              </w:rPr>
            </w:pPr>
            <w:r w:rsidRPr="00C82F26">
              <w:rPr>
                <w:sz w:val="20"/>
              </w:rPr>
              <w:t xml:space="preserve">Professional development on evidence-based approaches </w:t>
            </w:r>
          </w:p>
          <w:p w14:paraId="4A680DF6" w14:textId="77777777" w:rsidR="00240267" w:rsidRPr="00C82F26" w:rsidRDefault="00240267">
            <w:pPr>
              <w:pStyle w:val="TableRowCentered"/>
              <w:jc w:val="left"/>
              <w:rPr>
                <w:sz w:val="20"/>
              </w:rPr>
            </w:pPr>
          </w:p>
          <w:p w14:paraId="15D84541" w14:textId="2DBEA085" w:rsidR="00240267" w:rsidRPr="00C82F26" w:rsidRDefault="00240267">
            <w:pPr>
              <w:pStyle w:val="TableRowCentered"/>
              <w:jc w:val="left"/>
              <w:rPr>
                <w:sz w:val="20"/>
              </w:rPr>
            </w:pPr>
            <w:r w:rsidRPr="00C82F26">
              <w:rPr>
                <w:sz w:val="20"/>
              </w:rPr>
              <w:t>Education Endowment Foundation: Developing high quality teaching, assessment and a curriculum which responds to the needs of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59280" w14:textId="64727DDC" w:rsidR="00240267" w:rsidRPr="00C82F26" w:rsidRDefault="00240267" w:rsidP="00240267">
            <w:pPr>
              <w:pStyle w:val="TableRowCentered"/>
              <w:ind w:left="0"/>
              <w:jc w:val="left"/>
              <w:rPr>
                <w:sz w:val="20"/>
              </w:rPr>
            </w:pPr>
            <w:r w:rsidRPr="00C82F26">
              <w:rPr>
                <w:sz w:val="20"/>
              </w:rPr>
              <w:t>6, 8</w:t>
            </w:r>
          </w:p>
        </w:tc>
      </w:tr>
      <w:tr w:rsidR="00240267" w14:paraId="702CCDE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AB47E" w14:textId="113A1094" w:rsidR="00240267" w:rsidRPr="00C82F26" w:rsidRDefault="00B539AF">
            <w:pPr>
              <w:pStyle w:val="TableRow"/>
              <w:rPr>
                <w:sz w:val="20"/>
                <w:szCs w:val="20"/>
              </w:rPr>
            </w:pPr>
            <w:r w:rsidRPr="00C82F26">
              <w:rPr>
                <w:sz w:val="20"/>
                <w:szCs w:val="20"/>
              </w:rPr>
              <w:t>Speech, Language and Communication training</w:t>
            </w:r>
            <w:r w:rsidR="00240267" w:rsidRPr="00C82F26">
              <w:rPr>
                <w:sz w:val="20"/>
                <w:szCs w:val="20"/>
              </w:rPr>
              <w:t>-</w:t>
            </w:r>
            <w:r w:rsidRPr="00C82F26">
              <w:rPr>
                <w:sz w:val="20"/>
                <w:szCs w:val="20"/>
              </w:rPr>
              <w:t xml:space="preserve">whole day </w:t>
            </w:r>
            <w:r w:rsidR="00240267" w:rsidRPr="00C82F26">
              <w:rPr>
                <w:sz w:val="20"/>
                <w:szCs w:val="20"/>
              </w:rPr>
              <w:t>for all staff</w:t>
            </w:r>
            <w:r w:rsidRPr="00C82F26">
              <w:rPr>
                <w:sz w:val="20"/>
                <w:szCs w:val="20"/>
              </w:rPr>
              <w:t xml:space="preserve"> in September 2024 </w:t>
            </w:r>
            <w:r w:rsidR="00240267" w:rsidRPr="00C82F26">
              <w:rPr>
                <w:sz w:val="20"/>
                <w:szCs w:val="20"/>
              </w:rPr>
              <w:t>INSET</w:t>
            </w:r>
            <w:r w:rsidRPr="00C82F26">
              <w:rPr>
                <w:sz w:val="20"/>
                <w:szCs w:val="20"/>
              </w:rPr>
              <w:t xml:space="preserve"> (photocopying materials </w:t>
            </w:r>
            <w:r w:rsidR="00240267" w:rsidRPr="00C82F26">
              <w:rPr>
                <w:sz w:val="20"/>
                <w:szCs w:val="20"/>
              </w:rPr>
              <w:t>£</w:t>
            </w:r>
            <w:r w:rsidRPr="00C82F26">
              <w:rPr>
                <w:sz w:val="20"/>
                <w:szCs w:val="20"/>
              </w:rPr>
              <w:t>60)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F5D77" w14:textId="77777777" w:rsidR="00240267" w:rsidRPr="00C82F26" w:rsidRDefault="00240267" w:rsidP="00240267">
            <w:pPr>
              <w:pStyle w:val="TableRowCentered"/>
              <w:jc w:val="left"/>
              <w:rPr>
                <w:sz w:val="20"/>
              </w:rPr>
            </w:pPr>
            <w:r w:rsidRPr="00C82F26">
              <w:rPr>
                <w:sz w:val="20"/>
              </w:rPr>
              <w:t>Education Endowment Foundation:</w:t>
            </w:r>
          </w:p>
          <w:p w14:paraId="094B2D7A" w14:textId="07A18111" w:rsidR="00240267" w:rsidRPr="00C82F26" w:rsidRDefault="00240267" w:rsidP="00240267">
            <w:pPr>
              <w:pStyle w:val="TableRowCentered"/>
              <w:jc w:val="left"/>
              <w:rPr>
                <w:sz w:val="20"/>
              </w:rPr>
            </w:pPr>
            <w:r w:rsidRPr="00C82F26">
              <w:rPr>
                <w:sz w:val="20"/>
              </w:rPr>
              <w:t>Activity and resources to meet the specific needs of disadvantaged pupils with SEND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63C9" w14:textId="56DC0D8B" w:rsidR="00240267" w:rsidRPr="00C82F26" w:rsidRDefault="00240267" w:rsidP="00240267">
            <w:pPr>
              <w:pStyle w:val="TableRowCentered"/>
              <w:ind w:left="0"/>
              <w:jc w:val="left"/>
              <w:rPr>
                <w:sz w:val="20"/>
              </w:rPr>
            </w:pPr>
            <w:r w:rsidRPr="00C82F26">
              <w:rPr>
                <w:sz w:val="20"/>
              </w:rPr>
              <w:t>3, 4, 5</w:t>
            </w:r>
          </w:p>
        </w:tc>
      </w:tr>
      <w:tr w:rsidR="00B539AF" w14:paraId="5431438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4A8C" w14:textId="00A8C6CE" w:rsidR="00B539AF" w:rsidRPr="00C82F26" w:rsidRDefault="00B539AF">
            <w:pPr>
              <w:pStyle w:val="TableRow"/>
              <w:rPr>
                <w:sz w:val="20"/>
                <w:szCs w:val="20"/>
              </w:rPr>
            </w:pPr>
            <w:r w:rsidRPr="00C82F26">
              <w:rPr>
                <w:sz w:val="20"/>
                <w:szCs w:val="20"/>
              </w:rPr>
              <w:t>Supply for ECT to attend Mastery in Maths course x 3 days at £200 per day=£600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CC24F" w14:textId="77777777" w:rsidR="00B539AF" w:rsidRPr="00C82F26" w:rsidRDefault="00B539AF" w:rsidP="00240267">
            <w:pPr>
              <w:pStyle w:val="TableRowCentered"/>
              <w:jc w:val="left"/>
              <w:rPr>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4EA7" w14:textId="77777777" w:rsidR="00B539AF" w:rsidRPr="00C82F26" w:rsidRDefault="00B539AF" w:rsidP="00240267">
            <w:pPr>
              <w:pStyle w:val="TableRowCentered"/>
              <w:ind w:left="0"/>
              <w:jc w:val="left"/>
              <w:rPr>
                <w:sz w:val="20"/>
              </w:rPr>
            </w:pPr>
          </w:p>
        </w:tc>
      </w:tr>
      <w:tr w:rsidR="00240267" w14:paraId="374AAB6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0CB6A" w14:textId="368DF363" w:rsidR="00240267" w:rsidRPr="00C82F26" w:rsidRDefault="00240267">
            <w:pPr>
              <w:pStyle w:val="TableRow"/>
              <w:rPr>
                <w:sz w:val="20"/>
                <w:szCs w:val="20"/>
              </w:rPr>
            </w:pPr>
            <w:r w:rsidRPr="00C82F26">
              <w:rPr>
                <w:sz w:val="20"/>
                <w:szCs w:val="20"/>
              </w:rPr>
              <w:t xml:space="preserve">Pupil Progress meetings with </w:t>
            </w:r>
            <w:r w:rsidR="0079143D" w:rsidRPr="00C82F26">
              <w:rPr>
                <w:sz w:val="20"/>
                <w:szCs w:val="20"/>
              </w:rPr>
              <w:t>Inclusion</w:t>
            </w:r>
            <w:r w:rsidRPr="00C82F26">
              <w:rPr>
                <w:sz w:val="20"/>
                <w:szCs w:val="20"/>
              </w:rPr>
              <w:t xml:space="preserve"> Lead x2 a year. Supply cover= £200 per day, x 12 days</w:t>
            </w:r>
            <w:r w:rsidR="0079143D" w:rsidRPr="00C82F26">
              <w:rPr>
                <w:sz w:val="20"/>
                <w:szCs w:val="20"/>
              </w:rPr>
              <w:t>= £2400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70D" w14:textId="77777777" w:rsidR="00240267" w:rsidRPr="00C82F26" w:rsidRDefault="0079143D" w:rsidP="0079143D">
            <w:pPr>
              <w:pStyle w:val="TableRowCentered"/>
              <w:ind w:left="0"/>
              <w:jc w:val="left"/>
              <w:rPr>
                <w:sz w:val="20"/>
              </w:rPr>
            </w:pPr>
            <w:r w:rsidRPr="00C82F26">
              <w:rPr>
                <w:sz w:val="20"/>
              </w:rPr>
              <w:t>Education Endowment Foundation: Developing high quality teaching, assessment and a curriculum which responds to the needs of pupils</w:t>
            </w:r>
          </w:p>
          <w:p w14:paraId="7F1F009D" w14:textId="77777777" w:rsidR="0079143D" w:rsidRPr="00C82F26" w:rsidRDefault="0079143D" w:rsidP="0079143D">
            <w:pPr>
              <w:pStyle w:val="TableRowCentered"/>
              <w:ind w:left="0"/>
              <w:jc w:val="left"/>
              <w:rPr>
                <w:sz w:val="20"/>
              </w:rPr>
            </w:pPr>
          </w:p>
          <w:p w14:paraId="18889BB8" w14:textId="5FCFCB8B" w:rsidR="0079143D" w:rsidRPr="00C82F26" w:rsidRDefault="0079143D" w:rsidP="0079143D">
            <w:pPr>
              <w:pStyle w:val="TableRowCentered"/>
              <w:ind w:left="0"/>
              <w:jc w:val="left"/>
              <w:rPr>
                <w:sz w:val="20"/>
              </w:rPr>
            </w:pPr>
            <w:r w:rsidRPr="00C82F26">
              <w:rPr>
                <w:sz w:val="20"/>
              </w:rPr>
              <w:lastRenderedPageBreak/>
              <w:t xml:space="preserve">Education Endowment Foundation: Mentoring and </w:t>
            </w:r>
            <w:r w:rsidR="002E21CF" w:rsidRPr="00C82F26">
              <w:rPr>
                <w:sz w:val="20"/>
              </w:rPr>
              <w:t>C</w:t>
            </w:r>
            <w:r w:rsidRPr="00C82F26">
              <w:rPr>
                <w:sz w:val="20"/>
              </w:rPr>
              <w:t>oaching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A9F36" w14:textId="33E6B238" w:rsidR="00240267" w:rsidRPr="00C82F26" w:rsidRDefault="0079143D" w:rsidP="00240267">
            <w:pPr>
              <w:pStyle w:val="TableRowCentered"/>
              <w:ind w:left="0"/>
              <w:jc w:val="left"/>
              <w:rPr>
                <w:sz w:val="20"/>
              </w:rPr>
            </w:pPr>
            <w:r w:rsidRPr="00C82F26">
              <w:rPr>
                <w:sz w:val="20"/>
              </w:rPr>
              <w:lastRenderedPageBreak/>
              <w:t>1, 2, 3, 4, 5, 6, 7, 8, 9</w:t>
            </w:r>
          </w:p>
        </w:tc>
      </w:tr>
      <w:tr w:rsidR="0079143D" w14:paraId="56B7D5B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326A8" w14:textId="0E3522F1" w:rsidR="0079143D" w:rsidRPr="00C82F26" w:rsidRDefault="0079143D">
            <w:pPr>
              <w:pStyle w:val="TableRow"/>
              <w:rPr>
                <w:sz w:val="20"/>
                <w:szCs w:val="20"/>
              </w:rPr>
            </w:pPr>
            <w:r w:rsidRPr="00C82F26">
              <w:rPr>
                <w:sz w:val="20"/>
                <w:szCs w:val="20"/>
              </w:rPr>
              <w:t>50% LSA 1:1 £11,</w:t>
            </w:r>
            <w:r w:rsidR="00B539AF" w:rsidRPr="00C82F26">
              <w:rPr>
                <w:sz w:val="20"/>
                <w:szCs w:val="20"/>
              </w:rPr>
              <w:t>556.34</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02B73" w14:textId="77777777" w:rsidR="0079143D" w:rsidRPr="00C82F26" w:rsidRDefault="0079143D" w:rsidP="0079143D">
            <w:pPr>
              <w:pStyle w:val="TableRowCentered"/>
              <w:ind w:left="0"/>
              <w:jc w:val="left"/>
              <w:rPr>
                <w:sz w:val="20"/>
              </w:rPr>
            </w:pPr>
            <w:r w:rsidRPr="00C82F26">
              <w:rPr>
                <w:sz w:val="20"/>
              </w:rPr>
              <w:t>Education Endowment Foundation:</w:t>
            </w:r>
          </w:p>
          <w:p w14:paraId="1E3EDDDD" w14:textId="45D2744C" w:rsidR="0079143D" w:rsidRPr="00C82F26" w:rsidRDefault="0079143D" w:rsidP="0079143D">
            <w:pPr>
              <w:pStyle w:val="TableRowCentered"/>
              <w:ind w:left="0"/>
              <w:jc w:val="left"/>
              <w:rPr>
                <w:sz w:val="20"/>
              </w:rPr>
            </w:pPr>
            <w:r w:rsidRPr="00C82F26">
              <w:rPr>
                <w:sz w:val="20"/>
              </w:rPr>
              <w:t>One to one and small group tuition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2313D" w14:textId="39AD6B82" w:rsidR="0079143D" w:rsidRPr="00C82F26" w:rsidRDefault="0079143D" w:rsidP="00240267">
            <w:pPr>
              <w:pStyle w:val="TableRowCentered"/>
              <w:ind w:left="0"/>
              <w:jc w:val="left"/>
              <w:rPr>
                <w:sz w:val="20"/>
              </w:rPr>
            </w:pPr>
            <w:r w:rsidRPr="00C82F26">
              <w:rPr>
                <w:sz w:val="20"/>
              </w:rPr>
              <w:t>1, 4, 5</w:t>
            </w:r>
          </w:p>
        </w:tc>
      </w:tr>
      <w:tr w:rsidR="0079143D" w14:paraId="177FD58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07C0" w14:textId="6DCFAFC0" w:rsidR="0079143D" w:rsidRPr="00C82F26" w:rsidRDefault="0079143D">
            <w:pPr>
              <w:pStyle w:val="TableRow"/>
              <w:rPr>
                <w:sz w:val="20"/>
                <w:szCs w:val="20"/>
              </w:rPr>
            </w:pPr>
            <w:r w:rsidRPr="00C82F26">
              <w:rPr>
                <w:sz w:val="20"/>
                <w:szCs w:val="20"/>
              </w:rPr>
              <w:t>1:1 TWA (30 hours) £20,</w:t>
            </w:r>
            <w:r w:rsidR="00B539AF" w:rsidRPr="00C82F26">
              <w:rPr>
                <w:sz w:val="20"/>
                <w:szCs w:val="20"/>
              </w:rPr>
              <w:t>953.96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2C346" w14:textId="77777777" w:rsidR="0079143D" w:rsidRPr="00C82F26" w:rsidRDefault="0079143D" w:rsidP="0079143D">
            <w:pPr>
              <w:pStyle w:val="TableRowCentered"/>
              <w:ind w:left="0"/>
              <w:jc w:val="left"/>
              <w:rPr>
                <w:sz w:val="20"/>
              </w:rPr>
            </w:pPr>
            <w:r w:rsidRPr="00C82F26">
              <w:rPr>
                <w:sz w:val="20"/>
              </w:rPr>
              <w:t>Education Endowment Foundation:</w:t>
            </w:r>
          </w:p>
          <w:p w14:paraId="32692199" w14:textId="0D2A4B1F" w:rsidR="0079143D" w:rsidRPr="00C82F26" w:rsidRDefault="0079143D" w:rsidP="0079143D">
            <w:pPr>
              <w:pStyle w:val="TableRowCentered"/>
              <w:ind w:left="0"/>
              <w:jc w:val="left"/>
              <w:rPr>
                <w:sz w:val="20"/>
              </w:rPr>
            </w:pPr>
            <w:r w:rsidRPr="00C82F26">
              <w:rPr>
                <w:sz w:val="20"/>
              </w:rPr>
              <w:t>One to one and small group tuition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AC40D" w14:textId="321E7D0B" w:rsidR="0079143D" w:rsidRPr="00C82F26" w:rsidRDefault="0079143D" w:rsidP="00240267">
            <w:pPr>
              <w:pStyle w:val="TableRowCentered"/>
              <w:ind w:left="0"/>
              <w:jc w:val="left"/>
              <w:rPr>
                <w:sz w:val="20"/>
              </w:rPr>
            </w:pPr>
            <w:r w:rsidRPr="00C82F26">
              <w:rPr>
                <w:sz w:val="20"/>
              </w:rPr>
              <w:t>1, 4, 5</w:t>
            </w:r>
          </w:p>
        </w:tc>
      </w:tr>
      <w:tr w:rsidR="00B539AF" w14:paraId="0FBB756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96341" w14:textId="0B9EF6E7" w:rsidR="00B539AF" w:rsidRPr="00C82F26" w:rsidRDefault="00B539AF">
            <w:pPr>
              <w:pStyle w:val="TableRow"/>
              <w:rPr>
                <w:sz w:val="20"/>
                <w:szCs w:val="20"/>
              </w:rPr>
            </w:pPr>
            <w:r w:rsidRPr="00C82F26">
              <w:rPr>
                <w:sz w:val="20"/>
                <w:szCs w:val="20"/>
              </w:rPr>
              <w:t>25% of PP lead salary-£18,633.42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9996" w14:textId="77777777" w:rsidR="00B539AF" w:rsidRPr="00C82F26" w:rsidRDefault="00B539AF" w:rsidP="0079143D">
            <w:pPr>
              <w:pStyle w:val="TableRowCentered"/>
              <w:ind w:left="0"/>
              <w:jc w:val="left"/>
              <w:rPr>
                <w:sz w:val="20"/>
              </w:rPr>
            </w:pPr>
            <w:r w:rsidRPr="00C82F26">
              <w:rPr>
                <w:sz w:val="20"/>
              </w:rPr>
              <w:t>Education Endowment Foundation: Mentoring and Coaching</w:t>
            </w:r>
          </w:p>
          <w:p w14:paraId="4AF1A1EF" w14:textId="34526853" w:rsidR="00B539AF" w:rsidRPr="00C82F26" w:rsidRDefault="00B539AF" w:rsidP="0079143D">
            <w:pPr>
              <w:pStyle w:val="TableRowCentered"/>
              <w:ind w:left="0"/>
              <w:jc w:val="left"/>
              <w:rPr>
                <w:sz w:val="20"/>
              </w:rPr>
            </w:pPr>
            <w:r w:rsidRPr="00C82F26">
              <w:rPr>
                <w:sz w:val="20"/>
              </w:rPr>
              <w:t>Education Endowment Foundation: Developing high quality teaching, assessment and a curriculum which responds to the needs of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E2844" w14:textId="3857A5F2" w:rsidR="00B539AF" w:rsidRPr="00C82F26" w:rsidRDefault="00B539AF" w:rsidP="00240267">
            <w:pPr>
              <w:pStyle w:val="TableRowCentered"/>
              <w:ind w:left="0"/>
              <w:jc w:val="left"/>
              <w:rPr>
                <w:sz w:val="20"/>
              </w:rPr>
            </w:pPr>
            <w:r w:rsidRPr="00C82F26">
              <w:rPr>
                <w:sz w:val="20"/>
              </w:rPr>
              <w:t>1, 2, 3, 4, 5, 6, 7, 8, 9</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7E63208" w:rsidR="00E66558" w:rsidRDefault="009D71E8">
      <w:r>
        <w:t xml:space="preserve">Budgeted cost: </w:t>
      </w:r>
      <w:bookmarkStart w:id="20" w:name="_Hlk156565273"/>
      <w:bookmarkStart w:id="21" w:name="_Hlk185502859"/>
      <w:r>
        <w:t>£</w:t>
      </w:r>
      <w:bookmarkEnd w:id="20"/>
      <w:r w:rsidR="00002FC7">
        <w:t>43,991.11</w:t>
      </w:r>
      <w:bookmarkEnd w:id="21"/>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A0FA" w14:textId="53F53410" w:rsidR="00E66558" w:rsidRPr="00C82F26" w:rsidRDefault="00AC5DFD">
            <w:pPr>
              <w:pStyle w:val="TableRow"/>
              <w:rPr>
                <w:iCs/>
                <w:sz w:val="20"/>
                <w:szCs w:val="20"/>
              </w:rPr>
            </w:pPr>
            <w:r w:rsidRPr="00C82F26">
              <w:rPr>
                <w:iCs/>
                <w:sz w:val="20"/>
                <w:szCs w:val="20"/>
              </w:rPr>
              <w:t>Power Maths books bought for all children who are working below ARE. These books are to be used as targeted intervention to allow these pupils to revisit key concepts and practise fluency outside of maths lessons</w:t>
            </w:r>
          </w:p>
          <w:p w14:paraId="2A7D5529" w14:textId="12350A73" w:rsidR="00AC5DFD" w:rsidRPr="00C82F26" w:rsidRDefault="00AC5DFD">
            <w:pPr>
              <w:pStyle w:val="TableRow"/>
              <w:rPr>
                <w:sz w:val="20"/>
                <w:szCs w:val="20"/>
              </w:rPr>
            </w:pPr>
            <w:r w:rsidRPr="00C82F26">
              <w:rPr>
                <w:sz w:val="20"/>
                <w:szCs w:val="20"/>
              </w:rPr>
              <w:t>Allocate £500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B75E" w14:textId="77777777" w:rsidR="00E66558" w:rsidRPr="00C82F26" w:rsidRDefault="00AC5DFD" w:rsidP="00A90063">
            <w:pPr>
              <w:pStyle w:val="TableRowCentered"/>
              <w:ind w:left="0"/>
              <w:jc w:val="left"/>
              <w:rPr>
                <w:sz w:val="20"/>
              </w:rPr>
            </w:pPr>
            <w:r w:rsidRPr="00C82F26">
              <w:rPr>
                <w:sz w:val="20"/>
              </w:rPr>
              <w:t>Education Endowment Foundation:</w:t>
            </w:r>
          </w:p>
          <w:p w14:paraId="307895ED" w14:textId="2317AFA9" w:rsidR="00AC5DFD" w:rsidRPr="00C82F26" w:rsidRDefault="00AC5DFD" w:rsidP="00A90063">
            <w:pPr>
              <w:pStyle w:val="TableRowCentered"/>
              <w:ind w:left="0"/>
              <w:jc w:val="left"/>
              <w:rPr>
                <w:sz w:val="20"/>
              </w:rPr>
            </w:pPr>
            <w:r w:rsidRPr="00C82F26">
              <w:rPr>
                <w:sz w:val="20"/>
              </w:rPr>
              <w:t>Interventions to support language development, literacy and numeracy</w:t>
            </w:r>
          </w:p>
          <w:p w14:paraId="64DAA16D" w14:textId="77777777" w:rsidR="00AC5DFD" w:rsidRPr="00C82F26" w:rsidRDefault="00AC5DFD">
            <w:pPr>
              <w:pStyle w:val="TableRowCentered"/>
              <w:jc w:val="left"/>
              <w:rPr>
                <w:sz w:val="20"/>
              </w:rPr>
            </w:pPr>
          </w:p>
          <w:p w14:paraId="5B710062" w14:textId="3C201E79" w:rsidR="00AC5DFD" w:rsidRPr="00C82F26" w:rsidRDefault="00AC5DFD" w:rsidP="00A90063">
            <w:pPr>
              <w:pStyle w:val="TableRowCentered"/>
              <w:ind w:left="0"/>
              <w:jc w:val="left"/>
              <w:rPr>
                <w:sz w:val="20"/>
              </w:rPr>
            </w:pPr>
            <w:r w:rsidRPr="00C82F26">
              <w:rPr>
                <w:sz w:val="20"/>
              </w:rPr>
              <w:t>Education Endowment Foundation:</w:t>
            </w:r>
          </w:p>
          <w:p w14:paraId="3EA6018D" w14:textId="77777777" w:rsidR="00AC5DFD" w:rsidRPr="00C82F26" w:rsidRDefault="00AC5DFD" w:rsidP="00A90063">
            <w:pPr>
              <w:pStyle w:val="TableRowCentered"/>
              <w:ind w:left="0"/>
              <w:jc w:val="left"/>
              <w:rPr>
                <w:sz w:val="20"/>
              </w:rPr>
            </w:pPr>
            <w:r w:rsidRPr="00C82F26">
              <w:rPr>
                <w:sz w:val="20"/>
              </w:rPr>
              <w:t>Teaching assistant deployment and interventions</w:t>
            </w:r>
          </w:p>
          <w:p w14:paraId="7D7B697A" w14:textId="77777777" w:rsidR="00AC5DFD" w:rsidRPr="00C82F26" w:rsidRDefault="00AC5DFD">
            <w:pPr>
              <w:pStyle w:val="TableRowCentered"/>
              <w:jc w:val="left"/>
              <w:rPr>
                <w:sz w:val="20"/>
              </w:rPr>
            </w:pPr>
          </w:p>
          <w:p w14:paraId="1132A671" w14:textId="77777777" w:rsidR="00AC5DFD" w:rsidRPr="00C82F26" w:rsidRDefault="00AC5DFD" w:rsidP="00A90063">
            <w:pPr>
              <w:pStyle w:val="TableRowCentered"/>
              <w:ind w:left="0"/>
              <w:jc w:val="left"/>
              <w:rPr>
                <w:sz w:val="20"/>
              </w:rPr>
            </w:pPr>
            <w:r w:rsidRPr="00C82F26">
              <w:rPr>
                <w:sz w:val="20"/>
              </w:rPr>
              <w:t>Education Endowment Foundation:</w:t>
            </w:r>
          </w:p>
          <w:p w14:paraId="2A7D552A" w14:textId="58E18540" w:rsidR="00AC5DFD" w:rsidRPr="00C82F26" w:rsidRDefault="00AC5DFD" w:rsidP="00A90063">
            <w:pPr>
              <w:pStyle w:val="TableRowCentered"/>
              <w:ind w:left="0"/>
              <w:jc w:val="left"/>
              <w:rPr>
                <w:sz w:val="20"/>
              </w:rPr>
            </w:pPr>
            <w:r w:rsidRPr="00C82F26">
              <w:rPr>
                <w:sz w:val="20"/>
              </w:rPr>
              <w:t>Activity and resources to meet the specific needs of disadvantaged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11DDDF07" w:rsidR="00E66558" w:rsidRPr="00C82F26" w:rsidRDefault="009D5109">
            <w:pPr>
              <w:pStyle w:val="TableRowCentered"/>
              <w:jc w:val="left"/>
              <w:rPr>
                <w:sz w:val="20"/>
              </w:rPr>
            </w:pPr>
            <w:r w:rsidRPr="00C82F26">
              <w:rPr>
                <w:sz w:val="20"/>
              </w:rPr>
              <w:t>6, 8</w:t>
            </w:r>
          </w:p>
        </w:tc>
      </w:tr>
      <w:tr w:rsidR="003873D8" w14:paraId="0F100F3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45115" w14:textId="44F72947" w:rsidR="003873D8" w:rsidRPr="00C82F26" w:rsidRDefault="003873D8">
            <w:pPr>
              <w:pStyle w:val="TableRow"/>
              <w:rPr>
                <w:iCs/>
                <w:sz w:val="20"/>
                <w:szCs w:val="20"/>
              </w:rPr>
            </w:pPr>
            <w:r w:rsidRPr="00C82F26">
              <w:rPr>
                <w:iCs/>
                <w:sz w:val="20"/>
                <w:szCs w:val="20"/>
              </w:rPr>
              <w:t>Purchase Flash Academy online learning platform to support children at Stage A of English Language-</w:t>
            </w:r>
            <w:r w:rsidR="00B539AF" w:rsidRPr="00C82F26">
              <w:rPr>
                <w:iCs/>
                <w:sz w:val="20"/>
                <w:szCs w:val="20"/>
              </w:rPr>
              <w:t>£2250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77C1C" w14:textId="77777777" w:rsidR="003873D8" w:rsidRDefault="003873D8" w:rsidP="00A90063">
            <w:pPr>
              <w:pStyle w:val="TableRowCentered"/>
              <w:ind w:left="0"/>
              <w:jc w:val="left"/>
              <w:rPr>
                <w:sz w:val="20"/>
              </w:rPr>
            </w:pPr>
            <w:r w:rsidRPr="00C82F26">
              <w:rPr>
                <w:sz w:val="20"/>
              </w:rPr>
              <w:t xml:space="preserve">The Bell Foundation framework for English </w:t>
            </w:r>
            <w:r w:rsidR="00B539AF" w:rsidRPr="00C82F26">
              <w:rPr>
                <w:sz w:val="20"/>
              </w:rPr>
              <w:t>Language</w:t>
            </w:r>
            <w:r w:rsidRPr="00C82F26">
              <w:rPr>
                <w:sz w:val="20"/>
              </w:rPr>
              <w:t xml:space="preserve"> </w:t>
            </w:r>
            <w:r w:rsidR="00B539AF" w:rsidRPr="00C82F26">
              <w:rPr>
                <w:sz w:val="20"/>
              </w:rPr>
              <w:t>Acquisition</w:t>
            </w:r>
            <w:r w:rsidRPr="00C82F26">
              <w:rPr>
                <w:sz w:val="20"/>
              </w:rPr>
              <w:t xml:space="preserve"> </w:t>
            </w:r>
          </w:p>
          <w:p w14:paraId="7AE8BC80" w14:textId="77777777" w:rsidR="00BB1072" w:rsidRDefault="00BB1072" w:rsidP="00A90063">
            <w:pPr>
              <w:pStyle w:val="TableRowCentered"/>
              <w:ind w:left="0"/>
              <w:jc w:val="left"/>
              <w:rPr>
                <w:sz w:val="20"/>
              </w:rPr>
            </w:pPr>
          </w:p>
          <w:p w14:paraId="1B1CF956" w14:textId="77777777" w:rsidR="00BB1072" w:rsidRPr="00BB1072" w:rsidRDefault="00BB1072" w:rsidP="00BB1072">
            <w:pPr>
              <w:pStyle w:val="TableRowCentered"/>
              <w:ind w:left="0"/>
              <w:jc w:val="left"/>
              <w:rPr>
                <w:sz w:val="20"/>
              </w:rPr>
            </w:pPr>
            <w:r w:rsidRPr="00BB1072">
              <w:rPr>
                <w:sz w:val="20"/>
              </w:rPr>
              <w:t>Education Endowment Foundation:</w:t>
            </w:r>
          </w:p>
          <w:p w14:paraId="0D374FA0" w14:textId="41960DAB" w:rsidR="00BB1072" w:rsidRPr="00C82F26" w:rsidRDefault="00BB1072" w:rsidP="00BB1072">
            <w:pPr>
              <w:pStyle w:val="TableRowCentered"/>
              <w:ind w:left="0"/>
              <w:jc w:val="left"/>
              <w:rPr>
                <w:sz w:val="20"/>
              </w:rPr>
            </w:pPr>
            <w:r w:rsidRPr="00BB1072">
              <w:rPr>
                <w:sz w:val="20"/>
              </w:rPr>
              <w:t>Technology and other resources focussed on supporting high quality teaching and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5B0F" w14:textId="56D7279E" w:rsidR="003873D8" w:rsidRPr="00C82F26" w:rsidRDefault="00BB1072" w:rsidP="00BB1072">
            <w:pPr>
              <w:pStyle w:val="TableRowCentered"/>
              <w:ind w:left="0"/>
              <w:jc w:val="left"/>
              <w:rPr>
                <w:sz w:val="20"/>
              </w:rPr>
            </w:pPr>
            <w:r w:rsidRPr="00BB1072">
              <w:rPr>
                <w:sz w:val="20"/>
              </w:rPr>
              <w:t>6, 8</w:t>
            </w:r>
          </w:p>
        </w:tc>
      </w:tr>
      <w:tr w:rsidR="003873D8" w14:paraId="7FD83A1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9A604" w14:textId="4981ECB2" w:rsidR="003873D8" w:rsidRPr="00C82F26" w:rsidRDefault="00B539AF">
            <w:pPr>
              <w:pStyle w:val="TableRow"/>
              <w:rPr>
                <w:iCs/>
                <w:sz w:val="20"/>
                <w:szCs w:val="20"/>
              </w:rPr>
            </w:pPr>
            <w:r w:rsidRPr="00C82F26">
              <w:rPr>
                <w:iCs/>
                <w:sz w:val="20"/>
                <w:szCs w:val="20"/>
              </w:rPr>
              <w:t>Buy Fluency Bee workbooks for children working out of year group for arithmetic. £960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37058" w14:textId="77777777" w:rsidR="00BB1072" w:rsidRPr="00BB1072" w:rsidRDefault="00BB1072" w:rsidP="00BB1072">
            <w:pPr>
              <w:pStyle w:val="TableRowCentered"/>
              <w:ind w:left="0"/>
              <w:jc w:val="left"/>
              <w:rPr>
                <w:sz w:val="20"/>
              </w:rPr>
            </w:pPr>
            <w:r w:rsidRPr="00BB1072">
              <w:rPr>
                <w:sz w:val="20"/>
              </w:rPr>
              <w:t>Education Endowment Foundation:</w:t>
            </w:r>
          </w:p>
          <w:p w14:paraId="0DB2E76F" w14:textId="2059B491" w:rsidR="003873D8" w:rsidRPr="00C82F26" w:rsidRDefault="00BB1072" w:rsidP="00BB1072">
            <w:pPr>
              <w:pStyle w:val="TableRowCentered"/>
              <w:ind w:left="0"/>
              <w:jc w:val="left"/>
              <w:rPr>
                <w:sz w:val="20"/>
              </w:rPr>
            </w:pPr>
            <w:r w:rsidRPr="00BB1072">
              <w:rPr>
                <w:sz w:val="20"/>
              </w:rPr>
              <w:t>Activity and resources to meet the specific needs of disadvantaged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54A18" w14:textId="55E56A7D" w:rsidR="003873D8" w:rsidRPr="00C82F26" w:rsidRDefault="00BB1072" w:rsidP="00BB1072">
            <w:pPr>
              <w:pStyle w:val="TableRowCentered"/>
              <w:ind w:left="0"/>
              <w:jc w:val="left"/>
              <w:rPr>
                <w:sz w:val="20"/>
              </w:rPr>
            </w:pPr>
            <w:r w:rsidRPr="00BB1072">
              <w:rPr>
                <w:sz w:val="20"/>
              </w:rPr>
              <w:t>6, 8</w:t>
            </w:r>
          </w:p>
        </w:tc>
      </w:tr>
      <w:tr w:rsidR="00C56586" w14:paraId="3B0CB73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7A785" w14:textId="02CF5D4B" w:rsidR="00C56586" w:rsidRPr="00C82F26" w:rsidRDefault="00AC5DFD">
            <w:pPr>
              <w:pStyle w:val="TableRow"/>
              <w:rPr>
                <w:iCs/>
                <w:sz w:val="20"/>
                <w:szCs w:val="20"/>
              </w:rPr>
            </w:pPr>
            <w:r w:rsidRPr="00C82F26">
              <w:rPr>
                <w:iCs/>
                <w:sz w:val="20"/>
                <w:szCs w:val="20"/>
              </w:rPr>
              <w:t xml:space="preserve">Renew subscription </w:t>
            </w:r>
            <w:r w:rsidR="00A90063" w:rsidRPr="00C82F26">
              <w:rPr>
                <w:iCs/>
                <w:sz w:val="20"/>
                <w:szCs w:val="20"/>
              </w:rPr>
              <w:t>t</w:t>
            </w:r>
            <w:r w:rsidRPr="00C82F26">
              <w:rPr>
                <w:iCs/>
                <w:sz w:val="20"/>
                <w:szCs w:val="20"/>
              </w:rPr>
              <w:t>o Third Space Learning-all resources and CPD align with White Rose Maths-£780 per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2A818" w14:textId="77777777" w:rsidR="00C56586" w:rsidRPr="00C82F26" w:rsidRDefault="00AC5DFD" w:rsidP="00A90063">
            <w:pPr>
              <w:pStyle w:val="TableRowCentered"/>
              <w:ind w:left="0"/>
              <w:jc w:val="left"/>
              <w:rPr>
                <w:sz w:val="20"/>
              </w:rPr>
            </w:pPr>
            <w:r w:rsidRPr="00C82F26">
              <w:rPr>
                <w:sz w:val="20"/>
              </w:rPr>
              <w:t>Education Endowment Foundation:</w:t>
            </w:r>
          </w:p>
          <w:p w14:paraId="4726CD95" w14:textId="77777777" w:rsidR="00AC5DFD" w:rsidRPr="00C82F26" w:rsidRDefault="00AC5DFD" w:rsidP="00A90063">
            <w:pPr>
              <w:pStyle w:val="TableRowCentered"/>
              <w:ind w:left="0"/>
              <w:jc w:val="left"/>
              <w:rPr>
                <w:sz w:val="20"/>
              </w:rPr>
            </w:pPr>
            <w:r w:rsidRPr="00C82F26">
              <w:rPr>
                <w:sz w:val="20"/>
              </w:rPr>
              <w:t>Professional development on evidence-based approaches</w:t>
            </w:r>
          </w:p>
          <w:p w14:paraId="26E45958" w14:textId="77777777" w:rsidR="00AC5DFD" w:rsidRPr="00C82F26" w:rsidRDefault="00AC5DFD">
            <w:pPr>
              <w:pStyle w:val="TableRowCentered"/>
              <w:jc w:val="left"/>
              <w:rPr>
                <w:sz w:val="20"/>
              </w:rPr>
            </w:pPr>
          </w:p>
          <w:p w14:paraId="33131E6F" w14:textId="77777777" w:rsidR="00AC5DFD" w:rsidRPr="00C82F26" w:rsidRDefault="00AC5DFD" w:rsidP="00A90063">
            <w:pPr>
              <w:pStyle w:val="TableRowCentered"/>
              <w:ind w:left="0"/>
              <w:jc w:val="left"/>
              <w:rPr>
                <w:sz w:val="20"/>
              </w:rPr>
            </w:pPr>
            <w:r w:rsidRPr="00C82F26">
              <w:rPr>
                <w:sz w:val="20"/>
              </w:rPr>
              <w:t>Education Endowment Foundation:</w:t>
            </w:r>
          </w:p>
          <w:p w14:paraId="4E5620E7" w14:textId="77777777" w:rsidR="00AC5DFD" w:rsidRPr="00C82F26" w:rsidRDefault="00AC5DFD" w:rsidP="00A90063">
            <w:pPr>
              <w:pStyle w:val="TableRowCentered"/>
              <w:ind w:left="0"/>
              <w:jc w:val="left"/>
              <w:rPr>
                <w:sz w:val="20"/>
              </w:rPr>
            </w:pPr>
            <w:r w:rsidRPr="00C82F26">
              <w:rPr>
                <w:sz w:val="20"/>
              </w:rPr>
              <w:lastRenderedPageBreak/>
              <w:t>Developing high quality teaching, assessment and a curriculum which responds to the needs of pupils</w:t>
            </w:r>
          </w:p>
          <w:p w14:paraId="7DC1859C" w14:textId="77777777" w:rsidR="00AC5DFD" w:rsidRPr="00C82F26" w:rsidRDefault="00AC5DFD">
            <w:pPr>
              <w:pStyle w:val="TableRowCentered"/>
              <w:jc w:val="left"/>
              <w:rPr>
                <w:sz w:val="20"/>
              </w:rPr>
            </w:pPr>
          </w:p>
          <w:p w14:paraId="57A30E97" w14:textId="77777777" w:rsidR="00AC5DFD" w:rsidRPr="00C82F26" w:rsidRDefault="00AC5DFD" w:rsidP="00A90063">
            <w:pPr>
              <w:pStyle w:val="TableRowCentered"/>
              <w:ind w:left="0"/>
              <w:jc w:val="left"/>
              <w:rPr>
                <w:sz w:val="20"/>
              </w:rPr>
            </w:pPr>
            <w:r w:rsidRPr="00C82F26">
              <w:rPr>
                <w:sz w:val="20"/>
              </w:rPr>
              <w:t>Education Endowment Foundation:</w:t>
            </w:r>
          </w:p>
          <w:p w14:paraId="3BC25D47" w14:textId="45610C14" w:rsidR="00AC5DFD" w:rsidRPr="00C82F26" w:rsidRDefault="00AC5DFD" w:rsidP="00A90063">
            <w:pPr>
              <w:pStyle w:val="TableRowCentered"/>
              <w:ind w:left="0"/>
              <w:jc w:val="left"/>
              <w:rPr>
                <w:sz w:val="20"/>
              </w:rPr>
            </w:pPr>
            <w:r w:rsidRPr="00C82F26">
              <w:rPr>
                <w:sz w:val="20"/>
              </w:rPr>
              <w:t>Technology and other resources focussed on supporting high quality teaching and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13CF8" w14:textId="0044BF8C" w:rsidR="00C56586" w:rsidRPr="00C82F26" w:rsidRDefault="009D5109">
            <w:pPr>
              <w:pStyle w:val="TableRowCentered"/>
              <w:jc w:val="left"/>
              <w:rPr>
                <w:sz w:val="20"/>
              </w:rPr>
            </w:pPr>
            <w:r w:rsidRPr="00C82F26">
              <w:rPr>
                <w:sz w:val="20"/>
              </w:rPr>
              <w:lastRenderedPageBreak/>
              <w:t>1, 2, 3, 4, 5, 6, 7, 8, 9</w:t>
            </w:r>
          </w:p>
        </w:tc>
      </w:tr>
      <w:tr w:rsidR="00C56586" w14:paraId="06A268C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C36E0" w14:textId="1954462A" w:rsidR="00C56586" w:rsidRPr="00C82F26" w:rsidRDefault="00AC5DFD">
            <w:pPr>
              <w:pStyle w:val="TableRow"/>
              <w:rPr>
                <w:iCs/>
                <w:sz w:val="20"/>
                <w:szCs w:val="20"/>
              </w:rPr>
            </w:pPr>
            <w:r w:rsidRPr="00C82F26">
              <w:rPr>
                <w:iCs/>
                <w:sz w:val="20"/>
                <w:szCs w:val="20"/>
              </w:rPr>
              <w:t>Set aside £</w:t>
            </w:r>
            <w:r w:rsidR="00B539AF" w:rsidRPr="00C82F26">
              <w:rPr>
                <w:iCs/>
                <w:sz w:val="20"/>
                <w:szCs w:val="20"/>
              </w:rPr>
              <w:t>3</w:t>
            </w:r>
            <w:r w:rsidRPr="00C82F26">
              <w:rPr>
                <w:iCs/>
                <w:sz w:val="20"/>
                <w:szCs w:val="20"/>
              </w:rPr>
              <w:t>000 for purchasing maths equipment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8144D" w14:textId="12D5A794" w:rsidR="00C56586" w:rsidRPr="00C82F26" w:rsidRDefault="00AC5DFD" w:rsidP="00A90063">
            <w:pPr>
              <w:pStyle w:val="TableRowCentered"/>
              <w:ind w:left="0"/>
              <w:jc w:val="left"/>
              <w:rPr>
                <w:sz w:val="20"/>
              </w:rPr>
            </w:pPr>
            <w:r w:rsidRPr="00C82F26">
              <w:rPr>
                <w:sz w:val="20"/>
              </w:rPr>
              <w:t>Education Endowment Foundation: Activity and resources to meet the specific needs of disadvantaged pupils with SEN</w:t>
            </w:r>
          </w:p>
          <w:p w14:paraId="686A967A" w14:textId="77777777" w:rsidR="00AC5DFD" w:rsidRPr="00C82F26" w:rsidRDefault="00AC5DFD">
            <w:pPr>
              <w:pStyle w:val="TableRowCentered"/>
              <w:jc w:val="left"/>
              <w:rPr>
                <w:sz w:val="20"/>
              </w:rPr>
            </w:pPr>
          </w:p>
          <w:p w14:paraId="07C2F619" w14:textId="77777777" w:rsidR="00AC5DFD" w:rsidRPr="00C82F26" w:rsidRDefault="00AC5DFD" w:rsidP="00A90063">
            <w:pPr>
              <w:pStyle w:val="TableRowCentered"/>
              <w:ind w:left="0"/>
              <w:jc w:val="left"/>
              <w:rPr>
                <w:sz w:val="20"/>
              </w:rPr>
            </w:pPr>
            <w:r w:rsidRPr="00C82F26">
              <w:rPr>
                <w:sz w:val="20"/>
              </w:rPr>
              <w:t>Education Endowment Foundation:</w:t>
            </w:r>
          </w:p>
          <w:p w14:paraId="7842217D" w14:textId="37A51864" w:rsidR="00AC5DFD" w:rsidRPr="00C82F26" w:rsidRDefault="00AC5DFD" w:rsidP="00A90063">
            <w:pPr>
              <w:pStyle w:val="TableRowCentered"/>
              <w:ind w:left="0"/>
              <w:jc w:val="left"/>
              <w:rPr>
                <w:sz w:val="20"/>
              </w:rPr>
            </w:pPr>
            <w:r w:rsidRPr="00C82F26">
              <w:rPr>
                <w:sz w:val="20"/>
              </w:rPr>
              <w:t>Technology and other resources focussed on supporting high quality teaching and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AAC1" w14:textId="0FCF9022" w:rsidR="00C56586" w:rsidRPr="00C82F26" w:rsidRDefault="009D5109">
            <w:pPr>
              <w:pStyle w:val="TableRowCentered"/>
              <w:jc w:val="left"/>
              <w:rPr>
                <w:sz w:val="20"/>
              </w:rPr>
            </w:pPr>
            <w:r w:rsidRPr="00C82F26">
              <w:rPr>
                <w:sz w:val="20"/>
              </w:rPr>
              <w:t>6, 7, 8</w:t>
            </w:r>
          </w:p>
        </w:tc>
      </w:tr>
      <w:tr w:rsidR="00C56586" w14:paraId="5AD279D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520F0" w14:textId="7E38694A" w:rsidR="00C56586" w:rsidRPr="00C82F26" w:rsidRDefault="00AC5DFD">
            <w:pPr>
              <w:pStyle w:val="TableRow"/>
              <w:rPr>
                <w:iCs/>
                <w:sz w:val="20"/>
                <w:szCs w:val="20"/>
              </w:rPr>
            </w:pPr>
            <w:r w:rsidRPr="00C82F26">
              <w:rPr>
                <w:iCs/>
                <w:sz w:val="20"/>
                <w:szCs w:val="20"/>
              </w:rPr>
              <w:t>Set aside £1000 for dual language reading books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F25DD" w14:textId="77777777" w:rsidR="00AC5DFD" w:rsidRPr="00C82F26" w:rsidRDefault="00AC5DFD" w:rsidP="00A90063">
            <w:pPr>
              <w:pStyle w:val="TableRowCentered"/>
              <w:ind w:left="0"/>
              <w:jc w:val="left"/>
              <w:rPr>
                <w:sz w:val="20"/>
              </w:rPr>
            </w:pPr>
            <w:r w:rsidRPr="00C82F26">
              <w:rPr>
                <w:sz w:val="20"/>
              </w:rPr>
              <w:t>Education Endowment Foundation: Activity and resources to meet the specific needs of disadvantaged pupils with SEN</w:t>
            </w:r>
          </w:p>
          <w:p w14:paraId="394C9016" w14:textId="77777777" w:rsidR="00AC5DFD" w:rsidRPr="00C82F26" w:rsidRDefault="00AC5DFD" w:rsidP="00AC5DFD">
            <w:pPr>
              <w:pStyle w:val="TableRowCentered"/>
              <w:rPr>
                <w:sz w:val="20"/>
              </w:rPr>
            </w:pPr>
          </w:p>
          <w:p w14:paraId="49407F1F" w14:textId="77777777" w:rsidR="00AC5DFD" w:rsidRPr="00C82F26" w:rsidRDefault="00AC5DFD" w:rsidP="00A90063">
            <w:pPr>
              <w:pStyle w:val="TableRowCentered"/>
              <w:ind w:left="0"/>
              <w:jc w:val="left"/>
              <w:rPr>
                <w:sz w:val="20"/>
              </w:rPr>
            </w:pPr>
            <w:r w:rsidRPr="00C82F26">
              <w:rPr>
                <w:sz w:val="20"/>
              </w:rPr>
              <w:t>Education Endowment Foundation:</w:t>
            </w:r>
          </w:p>
          <w:p w14:paraId="42BD7AFE" w14:textId="4A59AE04" w:rsidR="00C56586" w:rsidRPr="00C82F26" w:rsidRDefault="00AC5DFD" w:rsidP="00A90063">
            <w:pPr>
              <w:pStyle w:val="TableRowCentered"/>
              <w:ind w:left="0"/>
              <w:jc w:val="left"/>
              <w:rPr>
                <w:sz w:val="20"/>
              </w:rPr>
            </w:pPr>
            <w:r w:rsidRPr="00C82F26">
              <w:rPr>
                <w:sz w:val="20"/>
              </w:rPr>
              <w:t>Technology and other resources focussed on supporting high quality teaching and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43A03" w14:textId="60E88521" w:rsidR="00C56586" w:rsidRPr="00C82F26" w:rsidRDefault="009D5109">
            <w:pPr>
              <w:pStyle w:val="TableRowCentered"/>
              <w:jc w:val="left"/>
              <w:rPr>
                <w:sz w:val="20"/>
              </w:rPr>
            </w:pPr>
            <w:r w:rsidRPr="00C82F26">
              <w:rPr>
                <w:sz w:val="20"/>
              </w:rPr>
              <w:t>1, 3, 5, 6, 7, 8, 9</w:t>
            </w:r>
          </w:p>
        </w:tc>
      </w:tr>
      <w:tr w:rsidR="00C56586" w14:paraId="2913EBC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9EC" w14:textId="2BF9B698" w:rsidR="00C56586" w:rsidRPr="00C82F26" w:rsidRDefault="00AC5DFD">
            <w:pPr>
              <w:pStyle w:val="TableRow"/>
              <w:rPr>
                <w:iCs/>
                <w:sz w:val="20"/>
                <w:szCs w:val="20"/>
              </w:rPr>
            </w:pPr>
            <w:r w:rsidRPr="00C82F26">
              <w:rPr>
                <w:iCs/>
                <w:sz w:val="20"/>
                <w:szCs w:val="20"/>
              </w:rPr>
              <w:t>Set aside £2000 for resources to support sensory processing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5FD08" w14:textId="77777777" w:rsidR="00780402" w:rsidRPr="00C82F26" w:rsidRDefault="00780402" w:rsidP="00A90063">
            <w:pPr>
              <w:pStyle w:val="TableRowCentered"/>
              <w:ind w:left="0"/>
              <w:jc w:val="left"/>
              <w:rPr>
                <w:sz w:val="20"/>
              </w:rPr>
            </w:pPr>
            <w:r w:rsidRPr="00C82F26">
              <w:rPr>
                <w:sz w:val="20"/>
              </w:rPr>
              <w:t>Education Endowment Foundation: Activity and resources to meet the specific needs of disadvantaged pupils with SEN</w:t>
            </w:r>
          </w:p>
          <w:p w14:paraId="3258FB84" w14:textId="77777777" w:rsidR="00780402" w:rsidRPr="00C82F26" w:rsidRDefault="00780402" w:rsidP="00780402">
            <w:pPr>
              <w:pStyle w:val="TableRowCentered"/>
              <w:rPr>
                <w:sz w:val="20"/>
              </w:rPr>
            </w:pPr>
          </w:p>
          <w:p w14:paraId="1AB5C81A" w14:textId="77777777" w:rsidR="00780402" w:rsidRPr="00C82F26" w:rsidRDefault="00780402" w:rsidP="00A90063">
            <w:pPr>
              <w:pStyle w:val="TableRowCentered"/>
              <w:ind w:left="0"/>
              <w:jc w:val="left"/>
              <w:rPr>
                <w:sz w:val="20"/>
              </w:rPr>
            </w:pPr>
            <w:r w:rsidRPr="00C82F26">
              <w:rPr>
                <w:sz w:val="20"/>
              </w:rPr>
              <w:t>Education Endowment Foundation:</w:t>
            </w:r>
          </w:p>
          <w:p w14:paraId="0ED22409" w14:textId="4ACA5C6B" w:rsidR="00C56586" w:rsidRPr="00C82F26" w:rsidRDefault="00780402" w:rsidP="00A90063">
            <w:pPr>
              <w:pStyle w:val="TableRowCentered"/>
              <w:ind w:left="0"/>
              <w:jc w:val="left"/>
              <w:rPr>
                <w:sz w:val="20"/>
              </w:rPr>
            </w:pPr>
            <w:r w:rsidRPr="00C82F26">
              <w:rPr>
                <w:sz w:val="20"/>
              </w:rPr>
              <w:t>Technology and other resources focussed on supporting high quality teaching and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D23D2" w14:textId="4A68C0BD" w:rsidR="00C56586" w:rsidRPr="00C82F26" w:rsidRDefault="009D5109">
            <w:pPr>
              <w:pStyle w:val="TableRowCentered"/>
              <w:jc w:val="left"/>
              <w:rPr>
                <w:sz w:val="20"/>
              </w:rPr>
            </w:pPr>
            <w:r w:rsidRPr="00C82F26">
              <w:rPr>
                <w:sz w:val="20"/>
              </w:rPr>
              <w:t>1, 2, 3, 4, 5, 6, 7, 8, 9</w:t>
            </w:r>
          </w:p>
        </w:tc>
      </w:tr>
      <w:tr w:rsidR="00C56586" w14:paraId="7E85BAC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DB308" w14:textId="10CDFB10" w:rsidR="00C56586" w:rsidRPr="00C82F26" w:rsidRDefault="00AC5DFD">
            <w:pPr>
              <w:pStyle w:val="TableRow"/>
              <w:rPr>
                <w:iCs/>
                <w:sz w:val="20"/>
                <w:szCs w:val="20"/>
              </w:rPr>
            </w:pPr>
            <w:r w:rsidRPr="00C82F26">
              <w:rPr>
                <w:iCs/>
                <w:sz w:val="20"/>
                <w:szCs w:val="20"/>
              </w:rPr>
              <w:t>Set aside £500 for board games designed to promote social interaction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6E4B4" w14:textId="77777777" w:rsidR="00780402" w:rsidRPr="00C82F26" w:rsidRDefault="00780402" w:rsidP="00A90063">
            <w:pPr>
              <w:pStyle w:val="TableRowCentered"/>
              <w:ind w:left="0"/>
              <w:jc w:val="left"/>
              <w:rPr>
                <w:sz w:val="20"/>
              </w:rPr>
            </w:pPr>
            <w:r w:rsidRPr="00C82F26">
              <w:rPr>
                <w:sz w:val="20"/>
              </w:rPr>
              <w:t>Education Endowment Foundation: Activity and resources to meet the specific needs of disadvantaged pupils with SEN</w:t>
            </w:r>
          </w:p>
          <w:p w14:paraId="0C309C72" w14:textId="77777777" w:rsidR="00780402" w:rsidRPr="00C82F26" w:rsidRDefault="00780402" w:rsidP="00780402">
            <w:pPr>
              <w:pStyle w:val="TableRowCentered"/>
              <w:rPr>
                <w:sz w:val="20"/>
              </w:rPr>
            </w:pPr>
          </w:p>
          <w:p w14:paraId="3FEE66BB" w14:textId="77777777" w:rsidR="00780402" w:rsidRPr="00C82F26" w:rsidRDefault="00780402" w:rsidP="00A90063">
            <w:pPr>
              <w:pStyle w:val="TableRowCentered"/>
              <w:ind w:left="0"/>
              <w:jc w:val="left"/>
              <w:rPr>
                <w:sz w:val="20"/>
              </w:rPr>
            </w:pPr>
            <w:r w:rsidRPr="00C82F26">
              <w:rPr>
                <w:sz w:val="20"/>
              </w:rPr>
              <w:t>Education Endowment Foundation:</w:t>
            </w:r>
          </w:p>
          <w:p w14:paraId="79BC6DBA" w14:textId="77777777" w:rsidR="00C56586" w:rsidRPr="00C82F26" w:rsidRDefault="00780402" w:rsidP="00A90063">
            <w:pPr>
              <w:pStyle w:val="TableRowCentered"/>
              <w:ind w:left="0"/>
              <w:jc w:val="left"/>
              <w:rPr>
                <w:sz w:val="20"/>
              </w:rPr>
            </w:pPr>
            <w:r w:rsidRPr="00C82F26">
              <w:rPr>
                <w:sz w:val="20"/>
              </w:rPr>
              <w:t>Technology and other resources focussed on supporting high quality teaching and learning</w:t>
            </w:r>
          </w:p>
          <w:p w14:paraId="0E6E36EB" w14:textId="77777777" w:rsidR="00780402" w:rsidRPr="00C82F26" w:rsidRDefault="00780402" w:rsidP="00780402">
            <w:pPr>
              <w:pStyle w:val="TableRowCentered"/>
              <w:jc w:val="left"/>
              <w:rPr>
                <w:sz w:val="20"/>
              </w:rPr>
            </w:pPr>
          </w:p>
          <w:p w14:paraId="0173FA74" w14:textId="77777777" w:rsidR="009D5109" w:rsidRPr="00C82F26" w:rsidRDefault="009D5109" w:rsidP="009D5109">
            <w:pPr>
              <w:pStyle w:val="TableRowCentered"/>
              <w:ind w:left="0"/>
              <w:jc w:val="left"/>
              <w:rPr>
                <w:sz w:val="20"/>
              </w:rPr>
            </w:pPr>
            <w:r w:rsidRPr="00C82F26">
              <w:rPr>
                <w:sz w:val="20"/>
              </w:rPr>
              <w:t>Education Endowment Foundation:</w:t>
            </w:r>
          </w:p>
          <w:p w14:paraId="0099FF38" w14:textId="595BF39B" w:rsidR="00780402" w:rsidRPr="00C82F26" w:rsidRDefault="009D5109" w:rsidP="009D5109">
            <w:pPr>
              <w:pStyle w:val="TableRowCentered"/>
              <w:ind w:left="0"/>
              <w:jc w:val="left"/>
              <w:rPr>
                <w:sz w:val="20"/>
              </w:rPr>
            </w:pPr>
            <w:r w:rsidRPr="00C82F26">
              <w:rPr>
                <w:sz w:val="20"/>
              </w:rPr>
              <w:t>Supporting pupils’ social, emotional and behavioural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0BB7F" w14:textId="354164FD" w:rsidR="00C56586" w:rsidRPr="00C82F26" w:rsidRDefault="009D5109">
            <w:pPr>
              <w:pStyle w:val="TableRowCentered"/>
              <w:jc w:val="left"/>
              <w:rPr>
                <w:sz w:val="20"/>
              </w:rPr>
            </w:pPr>
            <w:r w:rsidRPr="00C82F26">
              <w:rPr>
                <w:sz w:val="20"/>
              </w:rPr>
              <w:t>1, 3, 4, 5, 9</w:t>
            </w:r>
          </w:p>
        </w:tc>
      </w:tr>
      <w:tr w:rsidR="00C56586" w14:paraId="6CE2931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86031" w14:textId="643243FF" w:rsidR="00C56586" w:rsidRPr="00C82F26" w:rsidRDefault="00780402">
            <w:pPr>
              <w:pStyle w:val="TableRow"/>
              <w:rPr>
                <w:iCs/>
                <w:sz w:val="20"/>
                <w:szCs w:val="20"/>
              </w:rPr>
            </w:pPr>
            <w:r w:rsidRPr="00C82F26">
              <w:rPr>
                <w:iCs/>
                <w:sz w:val="20"/>
                <w:szCs w:val="20"/>
              </w:rPr>
              <w:t>Set aside £1000 for dual language dictionaries and picture dictionaries to support new arrivals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F7816" w14:textId="77777777" w:rsidR="00780402" w:rsidRPr="00C82F26" w:rsidRDefault="00780402" w:rsidP="00A90063">
            <w:pPr>
              <w:pStyle w:val="TableRowCentered"/>
              <w:ind w:left="0"/>
              <w:jc w:val="left"/>
              <w:rPr>
                <w:sz w:val="20"/>
              </w:rPr>
            </w:pPr>
            <w:r w:rsidRPr="00C82F26">
              <w:rPr>
                <w:sz w:val="20"/>
              </w:rPr>
              <w:t>Education Endowment Foundation:</w:t>
            </w:r>
          </w:p>
          <w:p w14:paraId="0F5F1577" w14:textId="603E9644" w:rsidR="00C56586" w:rsidRPr="00C82F26" w:rsidRDefault="00780402" w:rsidP="00A90063">
            <w:pPr>
              <w:pStyle w:val="TableRowCentered"/>
              <w:ind w:left="0"/>
              <w:jc w:val="left"/>
              <w:rPr>
                <w:sz w:val="20"/>
              </w:rPr>
            </w:pPr>
            <w:r w:rsidRPr="00C82F26">
              <w:rPr>
                <w:sz w:val="20"/>
              </w:rPr>
              <w:t>Technology and other resources focussed on supporting high quality teaching and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72BA7" w14:textId="3D192C43" w:rsidR="00C56586" w:rsidRPr="00C82F26" w:rsidRDefault="009D5109">
            <w:pPr>
              <w:pStyle w:val="TableRowCentered"/>
              <w:jc w:val="left"/>
              <w:rPr>
                <w:sz w:val="20"/>
              </w:rPr>
            </w:pPr>
            <w:r w:rsidRPr="00C82F26">
              <w:rPr>
                <w:sz w:val="20"/>
              </w:rPr>
              <w:t>1, 3, 4, 5, 9</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3129B" w14:textId="77777777" w:rsidR="00E66558" w:rsidRPr="00C82F26" w:rsidRDefault="00780402">
            <w:pPr>
              <w:pStyle w:val="TableRow"/>
              <w:rPr>
                <w:sz w:val="20"/>
                <w:szCs w:val="20"/>
              </w:rPr>
            </w:pPr>
            <w:r w:rsidRPr="00C82F26">
              <w:rPr>
                <w:sz w:val="20"/>
                <w:szCs w:val="20"/>
              </w:rPr>
              <w:t xml:space="preserve">Times Table </w:t>
            </w:r>
            <w:proofErr w:type="spellStart"/>
            <w:r w:rsidRPr="00C82F26">
              <w:rPr>
                <w:sz w:val="20"/>
                <w:szCs w:val="20"/>
              </w:rPr>
              <w:t>Rockstars</w:t>
            </w:r>
            <w:proofErr w:type="spellEnd"/>
          </w:p>
          <w:p w14:paraId="64E68306" w14:textId="77777777" w:rsidR="00780402" w:rsidRPr="00C82F26" w:rsidRDefault="00780402">
            <w:pPr>
              <w:pStyle w:val="TableRow"/>
              <w:rPr>
                <w:sz w:val="20"/>
                <w:szCs w:val="20"/>
              </w:rPr>
            </w:pPr>
            <w:r w:rsidRPr="00C82F26">
              <w:rPr>
                <w:sz w:val="20"/>
                <w:szCs w:val="20"/>
              </w:rPr>
              <w:t xml:space="preserve">Subscription for the whole school. Children given own usernames and passwords so that they </w:t>
            </w:r>
            <w:r w:rsidRPr="00C82F26">
              <w:rPr>
                <w:sz w:val="20"/>
                <w:szCs w:val="20"/>
              </w:rPr>
              <w:lastRenderedPageBreak/>
              <w:t xml:space="preserve">can log on and use at home. </w:t>
            </w:r>
          </w:p>
          <w:p w14:paraId="57B26B78" w14:textId="77777777" w:rsidR="00780402" w:rsidRPr="00C82F26" w:rsidRDefault="00780402">
            <w:pPr>
              <w:pStyle w:val="TableRow"/>
              <w:rPr>
                <w:sz w:val="20"/>
                <w:szCs w:val="20"/>
              </w:rPr>
            </w:pPr>
            <w:r w:rsidRPr="00C82F26">
              <w:rPr>
                <w:sz w:val="20"/>
                <w:szCs w:val="20"/>
              </w:rPr>
              <w:t xml:space="preserve">Identified children to use in the morning with LSA in order to accelerate through multiplication tables. </w:t>
            </w:r>
          </w:p>
          <w:p w14:paraId="2A7D552D" w14:textId="00CF2F14" w:rsidR="00780402" w:rsidRPr="00C82F26" w:rsidRDefault="00780402">
            <w:pPr>
              <w:pStyle w:val="TableRow"/>
              <w:rPr>
                <w:i/>
                <w:sz w:val="20"/>
                <w:szCs w:val="20"/>
              </w:rPr>
            </w:pPr>
            <w:r w:rsidRPr="00C82F26">
              <w:rPr>
                <w:sz w:val="20"/>
                <w:szCs w:val="20"/>
              </w:rPr>
              <w:t>Total Cost =£</w:t>
            </w:r>
            <w:r w:rsidR="00C82F26" w:rsidRPr="00C82F26">
              <w:rPr>
                <w:sz w:val="20"/>
                <w:szCs w:val="20"/>
              </w:rPr>
              <w:t>198.72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AD40C" w14:textId="77777777" w:rsidR="00780402" w:rsidRPr="00C82F26" w:rsidRDefault="00780402" w:rsidP="00A90063">
            <w:pPr>
              <w:pStyle w:val="TableRowCentered"/>
              <w:ind w:left="0"/>
              <w:jc w:val="left"/>
              <w:rPr>
                <w:sz w:val="20"/>
              </w:rPr>
            </w:pPr>
            <w:r w:rsidRPr="00C82F26">
              <w:rPr>
                <w:sz w:val="20"/>
              </w:rPr>
              <w:lastRenderedPageBreak/>
              <w:t>Education Endowment Foundation: Activity and resources to meet the specific needs of disadvantaged pupils with SEN</w:t>
            </w:r>
          </w:p>
          <w:p w14:paraId="4BA5B09B" w14:textId="77777777" w:rsidR="00780402" w:rsidRPr="00C82F26" w:rsidRDefault="00780402" w:rsidP="00780402">
            <w:pPr>
              <w:pStyle w:val="TableRowCentered"/>
              <w:rPr>
                <w:sz w:val="20"/>
              </w:rPr>
            </w:pPr>
          </w:p>
          <w:p w14:paraId="2E74FD2E" w14:textId="77777777" w:rsidR="00780402" w:rsidRPr="00C82F26" w:rsidRDefault="00780402" w:rsidP="00A90063">
            <w:pPr>
              <w:pStyle w:val="TableRowCentered"/>
              <w:ind w:left="0"/>
              <w:jc w:val="left"/>
              <w:rPr>
                <w:sz w:val="20"/>
              </w:rPr>
            </w:pPr>
            <w:r w:rsidRPr="00C82F26">
              <w:rPr>
                <w:sz w:val="20"/>
              </w:rPr>
              <w:t>Education Endowment Foundation:</w:t>
            </w:r>
          </w:p>
          <w:p w14:paraId="2A4CDD7D" w14:textId="77777777" w:rsidR="00E66558" w:rsidRPr="00C82F26" w:rsidRDefault="00780402" w:rsidP="00A90063">
            <w:pPr>
              <w:pStyle w:val="TableRowCentered"/>
              <w:ind w:left="0"/>
              <w:jc w:val="left"/>
              <w:rPr>
                <w:sz w:val="20"/>
              </w:rPr>
            </w:pPr>
            <w:r w:rsidRPr="00C82F26">
              <w:rPr>
                <w:sz w:val="20"/>
              </w:rPr>
              <w:lastRenderedPageBreak/>
              <w:t>Technology and other resources focussed on supporting high quality teaching and learning</w:t>
            </w:r>
          </w:p>
          <w:p w14:paraId="796D45C1" w14:textId="77777777" w:rsidR="00780402" w:rsidRPr="00C82F26" w:rsidRDefault="00780402" w:rsidP="00780402">
            <w:pPr>
              <w:pStyle w:val="TableRowCentered"/>
              <w:jc w:val="left"/>
              <w:rPr>
                <w:sz w:val="20"/>
              </w:rPr>
            </w:pPr>
          </w:p>
          <w:p w14:paraId="23EC6724" w14:textId="77777777" w:rsidR="00780402" w:rsidRPr="00C82F26" w:rsidRDefault="00780402" w:rsidP="00A90063">
            <w:pPr>
              <w:pStyle w:val="TableRowCentered"/>
              <w:ind w:left="0"/>
              <w:jc w:val="left"/>
              <w:rPr>
                <w:sz w:val="20"/>
              </w:rPr>
            </w:pPr>
            <w:r w:rsidRPr="00C82F26">
              <w:rPr>
                <w:sz w:val="20"/>
              </w:rPr>
              <w:t>Education Endowment Foundation:</w:t>
            </w:r>
          </w:p>
          <w:p w14:paraId="2A7D552E" w14:textId="3A4A3807" w:rsidR="00780402" w:rsidRPr="00C82F26" w:rsidRDefault="00780402" w:rsidP="00A90063">
            <w:pPr>
              <w:pStyle w:val="TableRowCentered"/>
              <w:ind w:left="0"/>
              <w:jc w:val="left"/>
              <w:rPr>
                <w:sz w:val="20"/>
              </w:rPr>
            </w:pPr>
            <w:r w:rsidRPr="00C82F26">
              <w:rPr>
                <w:sz w:val="20"/>
              </w:rPr>
              <w:t>Teaching assistant deployment and interventions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A1C1318" w:rsidR="00E66558" w:rsidRPr="00C82F26" w:rsidRDefault="009D5109">
            <w:pPr>
              <w:pStyle w:val="TableRowCentered"/>
              <w:jc w:val="left"/>
              <w:rPr>
                <w:sz w:val="20"/>
              </w:rPr>
            </w:pPr>
            <w:r w:rsidRPr="00C82F26">
              <w:rPr>
                <w:sz w:val="20"/>
              </w:rPr>
              <w:lastRenderedPageBreak/>
              <w:t>3, 5, 6, 7, 8</w:t>
            </w:r>
          </w:p>
        </w:tc>
      </w:tr>
      <w:tr w:rsidR="00780402" w14:paraId="6728DC7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0A0F" w14:textId="0CE8FF4A" w:rsidR="00780402" w:rsidRPr="00C82F26" w:rsidRDefault="00780402">
            <w:pPr>
              <w:pStyle w:val="TableRow"/>
              <w:rPr>
                <w:sz w:val="20"/>
                <w:szCs w:val="20"/>
              </w:rPr>
            </w:pPr>
            <w:r w:rsidRPr="00C82F26">
              <w:rPr>
                <w:sz w:val="20"/>
                <w:szCs w:val="20"/>
              </w:rPr>
              <w:t>Fluency Bee maths intervention (provided by White Rose Maths) for Year 2 and Year 3 children who are below ARE in Maths £80.00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2B9A3" w14:textId="77777777" w:rsidR="00780402" w:rsidRPr="00C82F26" w:rsidRDefault="00780402" w:rsidP="00A90063">
            <w:pPr>
              <w:pStyle w:val="TableRowCentered"/>
              <w:ind w:left="0"/>
              <w:jc w:val="left"/>
              <w:rPr>
                <w:sz w:val="20"/>
              </w:rPr>
            </w:pPr>
            <w:r w:rsidRPr="00C82F26">
              <w:rPr>
                <w:sz w:val="20"/>
              </w:rPr>
              <w:t>Education Endowment Foundation:</w:t>
            </w:r>
          </w:p>
          <w:p w14:paraId="4E641ECC" w14:textId="77777777" w:rsidR="00780402" w:rsidRPr="00C82F26" w:rsidRDefault="00780402" w:rsidP="00A90063">
            <w:pPr>
              <w:pStyle w:val="TableRowCentered"/>
              <w:ind w:left="0"/>
              <w:jc w:val="left"/>
              <w:rPr>
                <w:sz w:val="20"/>
              </w:rPr>
            </w:pPr>
            <w:r w:rsidRPr="00C82F26">
              <w:rPr>
                <w:sz w:val="20"/>
              </w:rPr>
              <w:t>Developing high quality teaching, assessment and a curriculum which responds to the needs of pupils</w:t>
            </w:r>
          </w:p>
          <w:p w14:paraId="4358B76F" w14:textId="77777777" w:rsidR="00780402" w:rsidRPr="00C82F26" w:rsidRDefault="00780402" w:rsidP="00780402">
            <w:pPr>
              <w:pStyle w:val="TableRowCentered"/>
              <w:jc w:val="left"/>
              <w:rPr>
                <w:sz w:val="20"/>
              </w:rPr>
            </w:pPr>
          </w:p>
          <w:p w14:paraId="217A39C7" w14:textId="77777777" w:rsidR="00780402" w:rsidRPr="00C82F26" w:rsidRDefault="00780402" w:rsidP="00780402">
            <w:pPr>
              <w:pStyle w:val="TableRowCentered"/>
              <w:ind w:left="0"/>
              <w:jc w:val="left"/>
              <w:rPr>
                <w:sz w:val="20"/>
              </w:rPr>
            </w:pPr>
            <w:r w:rsidRPr="00C82F26">
              <w:rPr>
                <w:sz w:val="20"/>
              </w:rPr>
              <w:t>Education Endowment Foundation:</w:t>
            </w:r>
          </w:p>
          <w:p w14:paraId="12E5D91D" w14:textId="69074F39" w:rsidR="00780402" w:rsidRPr="00C82F26" w:rsidRDefault="00780402" w:rsidP="00780402">
            <w:pPr>
              <w:pStyle w:val="TableRowCentered"/>
              <w:ind w:left="0"/>
              <w:jc w:val="left"/>
              <w:rPr>
                <w:sz w:val="20"/>
              </w:rPr>
            </w:pPr>
            <w:r w:rsidRPr="00C82F26">
              <w:rPr>
                <w:sz w:val="20"/>
              </w:rPr>
              <w:t>Teaching assistant deployment and interventions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E416" w14:textId="6DA79524" w:rsidR="00780402" w:rsidRPr="00C82F26" w:rsidRDefault="009D5109">
            <w:pPr>
              <w:pStyle w:val="TableRowCentered"/>
              <w:jc w:val="left"/>
              <w:rPr>
                <w:sz w:val="20"/>
              </w:rPr>
            </w:pPr>
            <w:r w:rsidRPr="00C82F26">
              <w:rPr>
                <w:sz w:val="20"/>
              </w:rPr>
              <w:t>3, 5, 6, 7, 8</w:t>
            </w:r>
          </w:p>
        </w:tc>
      </w:tr>
      <w:tr w:rsidR="00780402" w14:paraId="7984CD0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505D" w14:textId="1F68DD94" w:rsidR="00780402" w:rsidRPr="00C82F26" w:rsidRDefault="00780402">
            <w:pPr>
              <w:pStyle w:val="TableRow"/>
              <w:rPr>
                <w:sz w:val="20"/>
                <w:szCs w:val="20"/>
              </w:rPr>
            </w:pPr>
            <w:r w:rsidRPr="00C82F26">
              <w:rPr>
                <w:sz w:val="20"/>
                <w:szCs w:val="20"/>
              </w:rPr>
              <w:t>Arithmetic Ninja books for disadvantaged children who are working below ARE as identified in tracking x3 a year. £20.59 per book. Allocate £1000 for this.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82CA0" w14:textId="77777777" w:rsidR="00780402" w:rsidRPr="00C82F26" w:rsidRDefault="00780402" w:rsidP="00780402">
            <w:pPr>
              <w:pStyle w:val="TableRowCentered"/>
              <w:ind w:left="0"/>
              <w:jc w:val="left"/>
              <w:rPr>
                <w:sz w:val="20"/>
              </w:rPr>
            </w:pPr>
            <w:r w:rsidRPr="00C82F26">
              <w:rPr>
                <w:sz w:val="20"/>
              </w:rPr>
              <w:t>Education Endowment Foundation:</w:t>
            </w:r>
          </w:p>
          <w:p w14:paraId="3098F965" w14:textId="1434CF25" w:rsidR="00780402" w:rsidRPr="00C82F26" w:rsidRDefault="00780402" w:rsidP="00780402">
            <w:pPr>
              <w:pStyle w:val="TableRowCentered"/>
              <w:ind w:left="0"/>
              <w:jc w:val="left"/>
              <w:rPr>
                <w:sz w:val="20"/>
              </w:rPr>
            </w:pPr>
            <w:r w:rsidRPr="00C82F26">
              <w:rPr>
                <w:sz w:val="20"/>
              </w:rPr>
              <w:t>Technology and other resources focussed on supporting high quality teaching and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6A09" w14:textId="62D9E458" w:rsidR="00780402" w:rsidRPr="00C82F26" w:rsidRDefault="009D5109">
            <w:pPr>
              <w:pStyle w:val="TableRowCentered"/>
              <w:jc w:val="left"/>
              <w:rPr>
                <w:sz w:val="20"/>
              </w:rPr>
            </w:pPr>
            <w:r w:rsidRPr="00C82F26">
              <w:rPr>
                <w:sz w:val="20"/>
              </w:rPr>
              <w:t>3, 5, 6, 7, 8</w:t>
            </w:r>
          </w:p>
        </w:tc>
      </w:tr>
      <w:tr w:rsidR="00A90063" w14:paraId="5B5D311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9E0E2" w14:textId="77777777" w:rsidR="00A90063" w:rsidRPr="00C82F26" w:rsidRDefault="00A90063">
            <w:pPr>
              <w:pStyle w:val="TableRow"/>
              <w:rPr>
                <w:sz w:val="20"/>
                <w:szCs w:val="20"/>
              </w:rPr>
            </w:pPr>
            <w:r w:rsidRPr="00C82F26">
              <w:rPr>
                <w:sz w:val="20"/>
                <w:szCs w:val="20"/>
              </w:rPr>
              <w:t>PP teacher to teach phonics and catch-up maths in KS2 for identified disadvantaged pupils; along with phonics and reading fluency for targeted disadvantaged pupils across the school</w:t>
            </w:r>
          </w:p>
          <w:p w14:paraId="6FBE57FF" w14:textId="32F53F3F" w:rsidR="00A90063" w:rsidRPr="00C82F26" w:rsidRDefault="00A90063">
            <w:pPr>
              <w:pStyle w:val="TableRow"/>
              <w:rPr>
                <w:sz w:val="20"/>
                <w:szCs w:val="20"/>
              </w:rPr>
            </w:pPr>
            <w:r w:rsidRPr="00C82F26">
              <w:rPr>
                <w:sz w:val="20"/>
                <w:szCs w:val="20"/>
              </w:rPr>
              <w:t>£</w:t>
            </w:r>
            <w:r w:rsidR="00B539AF" w:rsidRPr="00C82F26">
              <w:rPr>
                <w:sz w:val="20"/>
                <w:szCs w:val="20"/>
              </w:rPr>
              <w:t>25, 724.38</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93CD" w14:textId="77777777" w:rsidR="00A90063" w:rsidRPr="00C82F26" w:rsidRDefault="00A90063" w:rsidP="00780402">
            <w:pPr>
              <w:pStyle w:val="TableRowCentered"/>
              <w:ind w:left="0"/>
              <w:jc w:val="left"/>
              <w:rPr>
                <w:sz w:val="20"/>
              </w:rPr>
            </w:pPr>
            <w:r w:rsidRPr="00C82F26">
              <w:rPr>
                <w:sz w:val="20"/>
              </w:rPr>
              <w:t>Education Endowment Foundation:</w:t>
            </w:r>
          </w:p>
          <w:p w14:paraId="7442C5C6" w14:textId="4078D1BF" w:rsidR="00A90063" w:rsidRPr="00C82F26" w:rsidRDefault="00A90063" w:rsidP="00780402">
            <w:pPr>
              <w:pStyle w:val="TableRowCentered"/>
              <w:ind w:left="0"/>
              <w:jc w:val="left"/>
              <w:rPr>
                <w:sz w:val="20"/>
              </w:rPr>
            </w:pPr>
            <w:r w:rsidRPr="00C82F26">
              <w:rPr>
                <w:sz w:val="20"/>
              </w:rPr>
              <w:t>One to one and small group tuition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2BC0" w14:textId="15B952FD" w:rsidR="00A90063" w:rsidRPr="00C82F26" w:rsidRDefault="009D5109">
            <w:pPr>
              <w:pStyle w:val="TableRowCentered"/>
              <w:jc w:val="left"/>
              <w:rPr>
                <w:sz w:val="20"/>
              </w:rPr>
            </w:pPr>
            <w:r w:rsidRPr="00C82F26">
              <w:rPr>
                <w:sz w:val="20"/>
              </w:rPr>
              <w:t>2, 7</w:t>
            </w:r>
          </w:p>
        </w:tc>
      </w:tr>
      <w:tr w:rsidR="00A90063" w14:paraId="2D68519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BB58" w14:textId="1DFB0C47" w:rsidR="00A90063" w:rsidRPr="00C82F26" w:rsidRDefault="00A90063">
            <w:pPr>
              <w:pStyle w:val="TableRow"/>
              <w:rPr>
                <w:sz w:val="20"/>
                <w:szCs w:val="20"/>
              </w:rPr>
            </w:pPr>
            <w:r w:rsidRPr="00C82F26">
              <w:rPr>
                <w:sz w:val="20"/>
                <w:szCs w:val="20"/>
              </w:rPr>
              <w:t xml:space="preserve">Set aside £3000 for additional planned interventions for reading, writing and maths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235E6" w14:textId="77777777" w:rsidR="00A90063" w:rsidRPr="00C82F26" w:rsidRDefault="00A90063" w:rsidP="00A90063">
            <w:pPr>
              <w:pStyle w:val="TableRowCentered"/>
              <w:ind w:left="0"/>
              <w:jc w:val="left"/>
              <w:rPr>
                <w:sz w:val="20"/>
              </w:rPr>
            </w:pPr>
            <w:r w:rsidRPr="00C82F26">
              <w:rPr>
                <w:sz w:val="20"/>
              </w:rPr>
              <w:t>Education Endowment Foundation:</w:t>
            </w:r>
          </w:p>
          <w:p w14:paraId="044112D2" w14:textId="77777777" w:rsidR="00A90063" w:rsidRPr="00C82F26" w:rsidRDefault="00A90063" w:rsidP="00A90063">
            <w:pPr>
              <w:pStyle w:val="TableRowCentered"/>
              <w:ind w:left="0"/>
              <w:jc w:val="left"/>
              <w:rPr>
                <w:sz w:val="20"/>
              </w:rPr>
            </w:pPr>
            <w:r w:rsidRPr="00C82F26">
              <w:rPr>
                <w:sz w:val="20"/>
              </w:rPr>
              <w:t>Teaching assistant deployment and interventions</w:t>
            </w:r>
          </w:p>
          <w:p w14:paraId="5A7FB4C6" w14:textId="77777777" w:rsidR="00A90063" w:rsidRPr="00C82F26" w:rsidRDefault="00A90063" w:rsidP="00A90063">
            <w:pPr>
              <w:pStyle w:val="TableRowCentered"/>
              <w:ind w:left="0"/>
              <w:jc w:val="left"/>
              <w:rPr>
                <w:sz w:val="20"/>
              </w:rPr>
            </w:pPr>
          </w:p>
          <w:p w14:paraId="698C3820" w14:textId="77777777" w:rsidR="00A90063" w:rsidRPr="00C82F26" w:rsidRDefault="00A90063" w:rsidP="00A90063">
            <w:pPr>
              <w:pStyle w:val="TableRowCentered"/>
              <w:ind w:left="0"/>
              <w:jc w:val="left"/>
              <w:rPr>
                <w:sz w:val="20"/>
              </w:rPr>
            </w:pPr>
            <w:r w:rsidRPr="00C82F26">
              <w:rPr>
                <w:sz w:val="20"/>
              </w:rPr>
              <w:t>Education Endowment Foundation:</w:t>
            </w:r>
          </w:p>
          <w:p w14:paraId="6E221787" w14:textId="435207F4" w:rsidR="00A90063" w:rsidRPr="00C82F26" w:rsidRDefault="00A90063" w:rsidP="00A90063">
            <w:pPr>
              <w:pStyle w:val="TableRowCentered"/>
              <w:ind w:left="0"/>
              <w:jc w:val="left"/>
              <w:rPr>
                <w:sz w:val="20"/>
              </w:rPr>
            </w:pPr>
            <w:r w:rsidRPr="00C82F26">
              <w:rPr>
                <w:sz w:val="20"/>
              </w:rPr>
              <w:t>Developing high quality teaching, assessment and a curriculum which responds to the needs of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79D9" w14:textId="243039AF" w:rsidR="00A90063" w:rsidRPr="00C82F26" w:rsidRDefault="009D5109">
            <w:pPr>
              <w:pStyle w:val="TableRowCentered"/>
              <w:jc w:val="left"/>
              <w:rPr>
                <w:sz w:val="20"/>
              </w:rPr>
            </w:pPr>
            <w:r w:rsidRPr="00C82F26">
              <w:rPr>
                <w:sz w:val="20"/>
              </w:rPr>
              <w:t>1, 2, 3, 4, 5, 6, 7, 8, 9</w:t>
            </w:r>
          </w:p>
        </w:tc>
      </w:tr>
      <w:tr w:rsidR="00C82F26" w14:paraId="247CDA4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0EF7" w14:textId="7A6EE18A" w:rsidR="00C82F26" w:rsidRPr="00C82F26" w:rsidRDefault="00C82F26">
            <w:pPr>
              <w:pStyle w:val="TableRow"/>
              <w:rPr>
                <w:sz w:val="20"/>
                <w:szCs w:val="20"/>
              </w:rPr>
            </w:pPr>
            <w:r w:rsidRPr="00C82F26">
              <w:rPr>
                <w:sz w:val="20"/>
                <w:szCs w:val="20"/>
              </w:rPr>
              <w:t>Set aside £1000 for resources for Attention Autism Bucket Time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E058E" w14:textId="5BBB9679" w:rsidR="00C82F26" w:rsidRPr="00C82F26" w:rsidRDefault="00002FC7" w:rsidP="00A90063">
            <w:pPr>
              <w:pStyle w:val="TableRowCentered"/>
              <w:ind w:left="0"/>
              <w:jc w:val="left"/>
              <w:rPr>
                <w:sz w:val="20"/>
              </w:rPr>
            </w:pPr>
            <w:r w:rsidRPr="00002FC7">
              <w:rPr>
                <w:sz w:val="20"/>
              </w:rPr>
              <w:t>Education Endowment Foundation: Activity and resources to meet the specific needs of disadvantaged pupils with SEN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DAAC" w14:textId="0E3D3F77" w:rsidR="00C82F26" w:rsidRPr="00C82F26" w:rsidRDefault="00BB1072" w:rsidP="00BB1072">
            <w:pPr>
              <w:pStyle w:val="TableRowCentered"/>
              <w:ind w:left="0"/>
              <w:jc w:val="left"/>
              <w:rPr>
                <w:sz w:val="20"/>
              </w:rPr>
            </w:pPr>
            <w:r w:rsidRPr="00BB1072">
              <w:rPr>
                <w:sz w:val="20"/>
              </w:rPr>
              <w:t>3, 5, 6, 7, 8</w:t>
            </w:r>
          </w:p>
        </w:tc>
      </w:tr>
      <w:tr w:rsidR="00C82F26" w14:paraId="572F316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6654" w14:textId="5899BC07" w:rsidR="00C82F26" w:rsidRPr="00C82F26" w:rsidRDefault="00C82F26">
            <w:pPr>
              <w:pStyle w:val="TableRow"/>
              <w:rPr>
                <w:sz w:val="20"/>
                <w:szCs w:val="20"/>
              </w:rPr>
            </w:pPr>
            <w:r w:rsidRPr="00C82F26">
              <w:rPr>
                <w:sz w:val="20"/>
                <w:szCs w:val="20"/>
              </w:rPr>
              <w:t>Set aside £1000 for resources for Sensory Circuits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0352" w14:textId="77777777" w:rsidR="00BB1072" w:rsidRPr="00BB1072" w:rsidRDefault="00BB1072" w:rsidP="00BB1072">
            <w:pPr>
              <w:pStyle w:val="TableRowCentered"/>
              <w:ind w:left="0"/>
              <w:jc w:val="left"/>
              <w:rPr>
                <w:sz w:val="20"/>
              </w:rPr>
            </w:pPr>
            <w:r w:rsidRPr="00BB1072">
              <w:rPr>
                <w:sz w:val="20"/>
              </w:rPr>
              <w:t>Education Endowment Foundation:</w:t>
            </w:r>
          </w:p>
          <w:p w14:paraId="5B8569BF" w14:textId="7CF857EC" w:rsidR="00C82F26" w:rsidRPr="00C82F26" w:rsidRDefault="00BB1072" w:rsidP="00BB1072">
            <w:pPr>
              <w:pStyle w:val="TableRowCentered"/>
              <w:ind w:left="0"/>
              <w:jc w:val="left"/>
              <w:rPr>
                <w:sz w:val="20"/>
              </w:rPr>
            </w:pPr>
            <w:r w:rsidRPr="00BB1072">
              <w:rPr>
                <w:sz w:val="20"/>
              </w:rPr>
              <w:t>Technology and other resources focussed on supporting high quality teaching and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BE4C" w14:textId="3DE289F1" w:rsidR="00C82F26" w:rsidRPr="00C82F26" w:rsidRDefault="00BB1072" w:rsidP="00BB1072">
            <w:pPr>
              <w:pStyle w:val="TableRowCentered"/>
              <w:ind w:left="0"/>
              <w:jc w:val="left"/>
              <w:rPr>
                <w:sz w:val="20"/>
              </w:rPr>
            </w:pPr>
            <w:r w:rsidRPr="00BB1072">
              <w:rPr>
                <w:sz w:val="20"/>
              </w:rPr>
              <w:t>3, 5, 6, 7, 8</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405DD51B" w:rsidR="00E66558" w:rsidRDefault="009D71E8">
      <w:pPr>
        <w:spacing w:before="240" w:after="120"/>
      </w:pPr>
      <w:r>
        <w:t xml:space="preserve">Budgeted cost: </w:t>
      </w:r>
      <w:bookmarkStart w:id="22" w:name="_Hlk156566502"/>
      <w:r w:rsidRPr="00574E4F">
        <w:rPr>
          <w:b/>
          <w:color w:val="1F497D" w:themeColor="text2"/>
        </w:rPr>
        <w:t>£</w:t>
      </w:r>
      <w:bookmarkEnd w:id="22"/>
      <w:r w:rsidR="00002FC7" w:rsidRPr="00002FC7">
        <w:rPr>
          <w:b/>
          <w:color w:val="1F497D" w:themeColor="text2"/>
        </w:rPr>
        <w:t>22,180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BC62359" w:rsidR="00E66558" w:rsidRPr="00C82F26" w:rsidRDefault="009D5109">
            <w:pPr>
              <w:pStyle w:val="TableRow"/>
              <w:rPr>
                <w:sz w:val="20"/>
                <w:szCs w:val="20"/>
              </w:rPr>
            </w:pPr>
            <w:r w:rsidRPr="00C82F26">
              <w:rPr>
                <w:sz w:val="20"/>
                <w:szCs w:val="20"/>
              </w:rPr>
              <w:t xml:space="preserve">Identify and train another member of staff </w:t>
            </w:r>
            <w:r w:rsidR="003873D8" w:rsidRPr="00C82F26">
              <w:rPr>
                <w:sz w:val="20"/>
                <w:szCs w:val="20"/>
              </w:rPr>
              <w:t>with</w:t>
            </w:r>
            <w:r w:rsidRPr="00C82F26">
              <w:rPr>
                <w:sz w:val="20"/>
                <w:szCs w:val="20"/>
              </w:rPr>
              <w:t xml:space="preserve"> </w:t>
            </w:r>
            <w:r w:rsidR="003873D8" w:rsidRPr="00C82F26">
              <w:rPr>
                <w:sz w:val="20"/>
                <w:szCs w:val="20"/>
              </w:rPr>
              <w:t>Intensive Interaction</w:t>
            </w:r>
            <w:r w:rsidRPr="00C82F26">
              <w:rPr>
                <w:sz w:val="20"/>
                <w:szCs w:val="20"/>
              </w:rPr>
              <w:t xml:space="preserve">. 3 days </w:t>
            </w:r>
            <w:r w:rsidR="003873D8" w:rsidRPr="00C82F26">
              <w:rPr>
                <w:sz w:val="20"/>
                <w:szCs w:val="20"/>
              </w:rPr>
              <w:t>supply cover £125 per day=£375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43A8" w14:textId="77777777" w:rsidR="00E66558" w:rsidRPr="00C82F26" w:rsidRDefault="009D5109" w:rsidP="009D5109">
            <w:pPr>
              <w:pStyle w:val="TableRowCentered"/>
              <w:ind w:left="0"/>
              <w:jc w:val="left"/>
              <w:rPr>
                <w:sz w:val="20"/>
              </w:rPr>
            </w:pPr>
            <w:r w:rsidRPr="00C82F26">
              <w:rPr>
                <w:sz w:val="20"/>
              </w:rPr>
              <w:t>Education Endowment Foundation:</w:t>
            </w:r>
          </w:p>
          <w:p w14:paraId="2A7D5539" w14:textId="6AD0FF34" w:rsidR="009D5109" w:rsidRPr="00C82F26" w:rsidRDefault="009D5109" w:rsidP="009D5109">
            <w:pPr>
              <w:pStyle w:val="TableRowCentered"/>
              <w:ind w:left="0"/>
              <w:jc w:val="left"/>
              <w:rPr>
                <w:sz w:val="20"/>
              </w:rPr>
            </w:pPr>
            <w:r w:rsidRPr="00C82F26">
              <w:rPr>
                <w:sz w:val="20"/>
              </w:rPr>
              <w:t>Supporting pupils’ social, emotional and behavioural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CBF627B" w:rsidR="00E66558" w:rsidRPr="00C82F26" w:rsidRDefault="00574E4F">
            <w:pPr>
              <w:pStyle w:val="TableRowCentered"/>
              <w:jc w:val="left"/>
              <w:rPr>
                <w:sz w:val="20"/>
              </w:rPr>
            </w:pPr>
            <w:r w:rsidRPr="00C82F26">
              <w:rPr>
                <w:sz w:val="20"/>
              </w:rPr>
              <w:t>1, 3, 4, 5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02985A1" w:rsidR="00E66558" w:rsidRPr="00C82F26" w:rsidRDefault="009D5109">
            <w:pPr>
              <w:pStyle w:val="TableRow"/>
              <w:rPr>
                <w:sz w:val="20"/>
                <w:szCs w:val="20"/>
              </w:rPr>
            </w:pPr>
            <w:r w:rsidRPr="00C82F26">
              <w:rPr>
                <w:sz w:val="20"/>
                <w:szCs w:val="20"/>
              </w:rPr>
              <w:t>Allocate £</w:t>
            </w:r>
            <w:r w:rsidR="003873D8" w:rsidRPr="00C82F26">
              <w:rPr>
                <w:sz w:val="20"/>
                <w:szCs w:val="20"/>
              </w:rPr>
              <w:t>1000</w:t>
            </w:r>
            <w:r w:rsidRPr="00C82F26">
              <w:rPr>
                <w:sz w:val="20"/>
                <w:szCs w:val="20"/>
              </w:rPr>
              <w:t xml:space="preserve"> for purchasing resources to support pupils with Emotional Literacy and CBT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0ABC" w14:textId="77777777" w:rsidR="00E66558" w:rsidRPr="00C82F26" w:rsidRDefault="009D5109" w:rsidP="002E21CF">
            <w:pPr>
              <w:pStyle w:val="TableRowCentered"/>
              <w:ind w:left="0"/>
              <w:jc w:val="left"/>
              <w:rPr>
                <w:sz w:val="20"/>
              </w:rPr>
            </w:pPr>
            <w:r w:rsidRPr="00C82F26">
              <w:rPr>
                <w:sz w:val="20"/>
              </w:rPr>
              <w:t xml:space="preserve">Education Endowment </w:t>
            </w:r>
            <w:r w:rsidR="002E21CF" w:rsidRPr="00C82F26">
              <w:rPr>
                <w:sz w:val="20"/>
              </w:rPr>
              <w:t>Foundation</w:t>
            </w:r>
            <w:r w:rsidRPr="00C82F26">
              <w:rPr>
                <w:sz w:val="20"/>
              </w:rPr>
              <w:t xml:space="preserve">: </w:t>
            </w:r>
          </w:p>
          <w:p w14:paraId="2A7D553D" w14:textId="7E5AE22F" w:rsidR="002E21CF" w:rsidRPr="00C82F26" w:rsidRDefault="002E21CF" w:rsidP="002E21CF">
            <w:pPr>
              <w:pStyle w:val="TableRowCentered"/>
              <w:ind w:left="0"/>
              <w:jc w:val="left"/>
              <w:rPr>
                <w:sz w:val="20"/>
              </w:rPr>
            </w:pPr>
            <w:r w:rsidRPr="00C82F26">
              <w:rPr>
                <w:sz w:val="20"/>
              </w:rPr>
              <w:t>Supporting pupils’ social, emotional and behavioural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AB1100C" w:rsidR="00E66558" w:rsidRPr="00C82F26" w:rsidRDefault="00574E4F">
            <w:pPr>
              <w:pStyle w:val="TableRowCentered"/>
              <w:jc w:val="left"/>
              <w:rPr>
                <w:sz w:val="20"/>
              </w:rPr>
            </w:pPr>
            <w:r w:rsidRPr="00C82F26">
              <w:rPr>
                <w:sz w:val="20"/>
              </w:rPr>
              <w:t>1, 3, 4, 5</w:t>
            </w:r>
          </w:p>
        </w:tc>
      </w:tr>
      <w:tr w:rsidR="002E21CF" w14:paraId="71B4F30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FAD9" w14:textId="0A72B405" w:rsidR="002E21CF" w:rsidRPr="00C82F26" w:rsidRDefault="002E21CF">
            <w:pPr>
              <w:pStyle w:val="TableRow"/>
              <w:rPr>
                <w:sz w:val="20"/>
                <w:szCs w:val="20"/>
              </w:rPr>
            </w:pPr>
            <w:r w:rsidRPr="00C82F26">
              <w:rPr>
                <w:sz w:val="20"/>
                <w:szCs w:val="20"/>
              </w:rPr>
              <w:t>Cool Milk-£</w:t>
            </w:r>
            <w:r w:rsidR="00C82F26" w:rsidRPr="00C82F26">
              <w:rPr>
                <w:sz w:val="20"/>
                <w:szCs w:val="20"/>
              </w:rPr>
              <w:t>2600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0091C" w14:textId="77777777" w:rsidR="002E21CF" w:rsidRPr="00C82F26" w:rsidRDefault="002E21CF" w:rsidP="002E21CF">
            <w:pPr>
              <w:pStyle w:val="TableRowCentered"/>
              <w:ind w:left="0"/>
              <w:jc w:val="left"/>
              <w:rPr>
                <w:sz w:val="20"/>
              </w:rPr>
            </w:pPr>
            <w:r w:rsidRPr="00C82F26">
              <w:rPr>
                <w:sz w:val="20"/>
              </w:rPr>
              <w:t>Education Endowment Foundation:</w:t>
            </w:r>
          </w:p>
          <w:p w14:paraId="3B1F54F0" w14:textId="78A2A800" w:rsidR="002E21CF" w:rsidRPr="00C82F26" w:rsidRDefault="002E21CF" w:rsidP="002E21CF">
            <w:pPr>
              <w:pStyle w:val="TableRowCentered"/>
              <w:ind w:left="0"/>
              <w:jc w:val="left"/>
              <w:rPr>
                <w:sz w:val="20"/>
              </w:rPr>
            </w:pPr>
            <w:r w:rsidRPr="00C82F26">
              <w:rPr>
                <w:sz w:val="20"/>
              </w:rPr>
              <w:t>Breakfast clubs and meal provision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A4990" w14:textId="65C1687C" w:rsidR="002E21CF" w:rsidRPr="00C82F26" w:rsidRDefault="00574E4F">
            <w:pPr>
              <w:pStyle w:val="TableRowCentered"/>
              <w:jc w:val="left"/>
              <w:rPr>
                <w:sz w:val="20"/>
              </w:rPr>
            </w:pPr>
            <w:r w:rsidRPr="00C82F26">
              <w:rPr>
                <w:sz w:val="20"/>
              </w:rPr>
              <w:t>4</w:t>
            </w:r>
          </w:p>
        </w:tc>
      </w:tr>
      <w:tr w:rsidR="002E21CF" w14:paraId="0E79AF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2D92" w14:textId="426CEA09" w:rsidR="002E21CF" w:rsidRPr="00C82F26" w:rsidRDefault="002E21CF">
            <w:pPr>
              <w:pStyle w:val="TableRow"/>
              <w:rPr>
                <w:sz w:val="20"/>
                <w:szCs w:val="20"/>
              </w:rPr>
            </w:pPr>
            <w:r w:rsidRPr="00C82F26">
              <w:rPr>
                <w:sz w:val="20"/>
                <w:szCs w:val="20"/>
              </w:rPr>
              <w:t>50% of Educational Psychologist package-£</w:t>
            </w:r>
            <w:r w:rsidR="003873D8" w:rsidRPr="00C82F26">
              <w:rPr>
                <w:sz w:val="20"/>
                <w:szCs w:val="20"/>
              </w:rPr>
              <w:t>5,300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0246F" w14:textId="12892826" w:rsidR="002E21CF" w:rsidRPr="00C82F26" w:rsidRDefault="002E21CF" w:rsidP="002E21CF">
            <w:pPr>
              <w:pStyle w:val="TableRowCentered"/>
              <w:ind w:left="0"/>
              <w:jc w:val="left"/>
              <w:rPr>
                <w:sz w:val="20"/>
              </w:rPr>
            </w:pPr>
            <w:r w:rsidRPr="00C82F26">
              <w:rPr>
                <w:sz w:val="20"/>
              </w:rPr>
              <w:t>Education Endowment Foundation: Supporting pupils’ social, emotional and behavioural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B3D3" w14:textId="3C87D297" w:rsidR="002E21CF" w:rsidRPr="00C82F26" w:rsidRDefault="00574E4F">
            <w:pPr>
              <w:pStyle w:val="TableRowCentered"/>
              <w:jc w:val="left"/>
              <w:rPr>
                <w:sz w:val="20"/>
              </w:rPr>
            </w:pPr>
            <w:r w:rsidRPr="00C82F26">
              <w:rPr>
                <w:sz w:val="20"/>
              </w:rPr>
              <w:t>1, 3, 4, 5</w:t>
            </w:r>
          </w:p>
        </w:tc>
      </w:tr>
      <w:tr w:rsidR="002E21CF" w14:paraId="1382139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4B24D" w14:textId="198F28A4" w:rsidR="002E21CF" w:rsidRPr="00C82F26" w:rsidRDefault="002E21CF">
            <w:pPr>
              <w:pStyle w:val="TableRow"/>
              <w:rPr>
                <w:sz w:val="20"/>
                <w:szCs w:val="20"/>
              </w:rPr>
            </w:pPr>
            <w:r w:rsidRPr="00C82F26">
              <w:rPr>
                <w:sz w:val="20"/>
                <w:szCs w:val="20"/>
              </w:rPr>
              <w:t xml:space="preserve">Allocate £4000 for potential residential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4016E" w14:textId="77777777" w:rsidR="002E21CF" w:rsidRPr="00C82F26" w:rsidRDefault="002E21CF" w:rsidP="002E21CF">
            <w:pPr>
              <w:pStyle w:val="TableRowCentered"/>
              <w:ind w:left="0"/>
              <w:jc w:val="left"/>
              <w:rPr>
                <w:sz w:val="20"/>
              </w:rPr>
            </w:pPr>
            <w:r w:rsidRPr="00C82F26">
              <w:rPr>
                <w:sz w:val="20"/>
              </w:rPr>
              <w:t>Education Endowment Foundation:</w:t>
            </w:r>
          </w:p>
          <w:p w14:paraId="7798E5CC" w14:textId="4AAF3B89" w:rsidR="002E21CF" w:rsidRPr="00C82F26" w:rsidRDefault="002E21CF" w:rsidP="002E21CF">
            <w:pPr>
              <w:pStyle w:val="TableRowCentered"/>
              <w:ind w:left="0"/>
              <w:jc w:val="left"/>
              <w:rPr>
                <w:sz w:val="20"/>
              </w:rPr>
            </w:pPr>
            <w:r w:rsidRPr="00C82F26">
              <w:rPr>
                <w:sz w:val="20"/>
              </w:rPr>
              <w:t xml:space="preserve">Communicate with and supporting parents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4BB4B" w14:textId="4D91D73C" w:rsidR="002E21CF" w:rsidRPr="00C82F26" w:rsidRDefault="00574E4F">
            <w:pPr>
              <w:pStyle w:val="TableRowCentered"/>
              <w:jc w:val="left"/>
              <w:rPr>
                <w:sz w:val="20"/>
              </w:rPr>
            </w:pPr>
            <w:r w:rsidRPr="00C82F26">
              <w:rPr>
                <w:sz w:val="20"/>
              </w:rPr>
              <w:t>4</w:t>
            </w:r>
          </w:p>
        </w:tc>
      </w:tr>
      <w:tr w:rsidR="002E21CF" w14:paraId="571F491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5239" w14:textId="6566F848" w:rsidR="002E21CF" w:rsidRPr="00C82F26" w:rsidRDefault="002E21CF">
            <w:pPr>
              <w:pStyle w:val="TableRow"/>
              <w:rPr>
                <w:sz w:val="20"/>
                <w:szCs w:val="20"/>
              </w:rPr>
            </w:pPr>
            <w:r w:rsidRPr="00C82F26">
              <w:rPr>
                <w:sz w:val="20"/>
                <w:szCs w:val="20"/>
              </w:rPr>
              <w:t>50% of test papers purchase (PIRA, PUMA)-£800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91ECF" w14:textId="77777777" w:rsidR="00574E4F" w:rsidRPr="00C82F26" w:rsidRDefault="00574E4F" w:rsidP="00574E4F">
            <w:pPr>
              <w:pStyle w:val="TableRowCentered"/>
              <w:ind w:left="0"/>
              <w:jc w:val="left"/>
              <w:rPr>
                <w:sz w:val="20"/>
              </w:rPr>
            </w:pPr>
            <w:r w:rsidRPr="00C82F26">
              <w:rPr>
                <w:sz w:val="20"/>
              </w:rPr>
              <w:t>Education Endowment Foundation:</w:t>
            </w:r>
          </w:p>
          <w:p w14:paraId="6D0933CA" w14:textId="72FFB021" w:rsidR="002E21CF" w:rsidRPr="00C82F26" w:rsidRDefault="00574E4F" w:rsidP="00574E4F">
            <w:pPr>
              <w:pStyle w:val="TableRowCentered"/>
              <w:ind w:left="0"/>
              <w:jc w:val="left"/>
              <w:rPr>
                <w:sz w:val="20"/>
              </w:rPr>
            </w:pPr>
            <w:r w:rsidRPr="00C82F26">
              <w:rPr>
                <w:sz w:val="20"/>
              </w:rPr>
              <w:t>Developing high quality teaching, assessment and a curriculum which responds to the needs of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B98E" w14:textId="592DD003" w:rsidR="002E21CF" w:rsidRPr="00C82F26" w:rsidRDefault="00574E4F">
            <w:pPr>
              <w:pStyle w:val="TableRowCentered"/>
              <w:jc w:val="left"/>
              <w:rPr>
                <w:sz w:val="20"/>
              </w:rPr>
            </w:pPr>
            <w:r w:rsidRPr="00C82F26">
              <w:rPr>
                <w:sz w:val="20"/>
              </w:rPr>
              <w:t>8</w:t>
            </w:r>
          </w:p>
        </w:tc>
      </w:tr>
      <w:tr w:rsidR="002E21CF" w14:paraId="193C90B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A5B" w14:textId="25CDFE27" w:rsidR="002E21CF" w:rsidRPr="00C82F26" w:rsidRDefault="002E21CF">
            <w:pPr>
              <w:pStyle w:val="TableRow"/>
              <w:rPr>
                <w:sz w:val="20"/>
                <w:szCs w:val="20"/>
              </w:rPr>
            </w:pPr>
            <w:r w:rsidRPr="00C82F26">
              <w:rPr>
                <w:sz w:val="20"/>
                <w:szCs w:val="20"/>
              </w:rPr>
              <w:t>Allocate £500 to help with cost of swimming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6E381" w14:textId="77777777" w:rsidR="002E21CF" w:rsidRPr="00C82F26" w:rsidRDefault="002E21CF" w:rsidP="002E21CF">
            <w:pPr>
              <w:pStyle w:val="TableRowCentered"/>
              <w:ind w:left="0"/>
              <w:jc w:val="left"/>
              <w:rPr>
                <w:sz w:val="20"/>
              </w:rPr>
            </w:pPr>
            <w:r w:rsidRPr="00C82F26">
              <w:rPr>
                <w:sz w:val="20"/>
              </w:rPr>
              <w:t>Education Endowment Foundation:</w:t>
            </w:r>
          </w:p>
          <w:p w14:paraId="3DBE15D5" w14:textId="71FE5B71" w:rsidR="002E21CF" w:rsidRPr="00C82F26" w:rsidRDefault="002E21CF" w:rsidP="002E21CF">
            <w:pPr>
              <w:pStyle w:val="TableRowCentered"/>
              <w:ind w:left="0"/>
              <w:jc w:val="left"/>
              <w:rPr>
                <w:sz w:val="20"/>
              </w:rPr>
            </w:pPr>
            <w:r w:rsidRPr="00C82F26">
              <w:rPr>
                <w:sz w:val="20"/>
              </w:rPr>
              <w:t>Communicate with and supporting parents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5EE0" w14:textId="1323A2EB" w:rsidR="002E21CF" w:rsidRPr="00C82F26" w:rsidRDefault="00574E4F">
            <w:pPr>
              <w:pStyle w:val="TableRowCentered"/>
              <w:jc w:val="left"/>
              <w:rPr>
                <w:sz w:val="20"/>
              </w:rPr>
            </w:pPr>
            <w:r w:rsidRPr="00C82F26">
              <w:rPr>
                <w:sz w:val="20"/>
              </w:rPr>
              <w:t>4</w:t>
            </w:r>
          </w:p>
        </w:tc>
      </w:tr>
      <w:tr w:rsidR="002E21CF" w14:paraId="23A5147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BCFE8" w14:textId="545A677F" w:rsidR="002E21CF" w:rsidRPr="00C82F26" w:rsidRDefault="002E21CF">
            <w:pPr>
              <w:pStyle w:val="TableRow"/>
              <w:rPr>
                <w:sz w:val="20"/>
                <w:szCs w:val="20"/>
              </w:rPr>
            </w:pPr>
            <w:r w:rsidRPr="00C82F26">
              <w:rPr>
                <w:sz w:val="20"/>
                <w:szCs w:val="20"/>
              </w:rPr>
              <w:t>Allocate £</w:t>
            </w:r>
            <w:r w:rsidR="003873D8" w:rsidRPr="00C82F26">
              <w:rPr>
                <w:sz w:val="20"/>
                <w:szCs w:val="20"/>
              </w:rPr>
              <w:t>500</w:t>
            </w:r>
            <w:r w:rsidRPr="00C82F26">
              <w:rPr>
                <w:sz w:val="20"/>
                <w:szCs w:val="20"/>
              </w:rPr>
              <w:t xml:space="preserve"> to help with uniform costs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DA830" w14:textId="77777777" w:rsidR="002E21CF" w:rsidRPr="00C82F26" w:rsidRDefault="002E21CF" w:rsidP="002E21CF">
            <w:pPr>
              <w:pStyle w:val="TableRowCentered"/>
              <w:ind w:left="0"/>
              <w:jc w:val="left"/>
              <w:rPr>
                <w:sz w:val="20"/>
              </w:rPr>
            </w:pPr>
            <w:r w:rsidRPr="00C82F26">
              <w:rPr>
                <w:sz w:val="20"/>
              </w:rPr>
              <w:t>Education Endowment Foundation:</w:t>
            </w:r>
          </w:p>
          <w:p w14:paraId="7253E0C7" w14:textId="07708EA9" w:rsidR="002E21CF" w:rsidRPr="00C82F26" w:rsidRDefault="002E21CF" w:rsidP="002E21CF">
            <w:pPr>
              <w:pStyle w:val="TableRowCentered"/>
              <w:ind w:left="0"/>
              <w:jc w:val="left"/>
              <w:rPr>
                <w:sz w:val="20"/>
              </w:rPr>
            </w:pPr>
            <w:r w:rsidRPr="00C82F26">
              <w:rPr>
                <w:sz w:val="20"/>
              </w:rPr>
              <w:t>Communicate with and supporting parents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28E8" w14:textId="5AC6AE90" w:rsidR="002E21CF" w:rsidRPr="00C82F26" w:rsidRDefault="00574E4F">
            <w:pPr>
              <w:pStyle w:val="TableRowCentered"/>
              <w:jc w:val="left"/>
              <w:rPr>
                <w:sz w:val="20"/>
              </w:rPr>
            </w:pPr>
            <w:r w:rsidRPr="00C82F26">
              <w:rPr>
                <w:sz w:val="20"/>
              </w:rPr>
              <w:t>4</w:t>
            </w:r>
          </w:p>
        </w:tc>
      </w:tr>
      <w:tr w:rsidR="002E21CF" w14:paraId="0B8D7A4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53B18" w14:textId="7D1C583C" w:rsidR="002E21CF" w:rsidRPr="00C82F26" w:rsidRDefault="002E21CF">
            <w:pPr>
              <w:pStyle w:val="TableRow"/>
              <w:rPr>
                <w:sz w:val="20"/>
                <w:szCs w:val="20"/>
              </w:rPr>
            </w:pPr>
            <w:r w:rsidRPr="00C82F26">
              <w:rPr>
                <w:sz w:val="20"/>
                <w:szCs w:val="20"/>
              </w:rPr>
              <w:t>Contingency of £</w:t>
            </w:r>
            <w:r w:rsidR="003873D8" w:rsidRPr="00C82F26">
              <w:rPr>
                <w:sz w:val="20"/>
                <w:szCs w:val="20"/>
              </w:rPr>
              <w:t>3,000</w:t>
            </w:r>
            <w:r w:rsidRPr="00C82F26">
              <w:rPr>
                <w:sz w:val="20"/>
                <w:szCs w:val="20"/>
              </w:rPr>
              <w:t xml:space="preserve"> for additional mental health resources for pupils, including alternative provision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8EBBF" w14:textId="6F118DC5" w:rsidR="002E21CF" w:rsidRPr="00C82F26" w:rsidRDefault="002E21CF" w:rsidP="002E21CF">
            <w:pPr>
              <w:pStyle w:val="TableRowCentered"/>
              <w:ind w:left="0"/>
              <w:jc w:val="left"/>
              <w:rPr>
                <w:sz w:val="20"/>
              </w:rPr>
            </w:pPr>
            <w:r w:rsidRPr="00C82F26">
              <w:rPr>
                <w:sz w:val="20"/>
              </w:rPr>
              <w:t>Education Endowment Foundation: Supporting pupils’ social, emotional and behavioural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8EB09" w14:textId="0C6DB921" w:rsidR="002E21CF" w:rsidRPr="00C82F26" w:rsidRDefault="00574E4F">
            <w:pPr>
              <w:pStyle w:val="TableRowCentered"/>
              <w:jc w:val="left"/>
              <w:rPr>
                <w:sz w:val="20"/>
              </w:rPr>
            </w:pPr>
            <w:r w:rsidRPr="00C82F26">
              <w:rPr>
                <w:sz w:val="20"/>
              </w:rPr>
              <w:t>1, 3, 4, 5</w:t>
            </w:r>
          </w:p>
        </w:tc>
      </w:tr>
      <w:tr w:rsidR="00574E4F" w14:paraId="290707A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4C0B" w14:textId="58A433A9" w:rsidR="00574E4F" w:rsidRPr="00C82F26" w:rsidRDefault="00574E4F">
            <w:pPr>
              <w:pStyle w:val="TableRow"/>
              <w:rPr>
                <w:sz w:val="20"/>
                <w:szCs w:val="20"/>
              </w:rPr>
            </w:pPr>
            <w:r w:rsidRPr="00C82F26">
              <w:rPr>
                <w:sz w:val="20"/>
                <w:szCs w:val="20"/>
              </w:rPr>
              <w:t>Contingency of £</w:t>
            </w:r>
            <w:r w:rsidR="003873D8" w:rsidRPr="00C82F26">
              <w:rPr>
                <w:sz w:val="20"/>
                <w:szCs w:val="20"/>
              </w:rPr>
              <w:t xml:space="preserve">4000 </w:t>
            </w:r>
            <w:r w:rsidRPr="00C82F26">
              <w:rPr>
                <w:sz w:val="20"/>
                <w:szCs w:val="20"/>
              </w:rPr>
              <w:t>for miscellaneous throughout the year, e.g. photocopying ELSA resources, buying stationary, office supplies etc.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3C7" w14:textId="77777777" w:rsidR="00574E4F" w:rsidRPr="00C82F26" w:rsidRDefault="00574E4F" w:rsidP="00574E4F">
            <w:pPr>
              <w:pStyle w:val="TableRowCentered"/>
              <w:ind w:left="0"/>
              <w:jc w:val="left"/>
              <w:rPr>
                <w:sz w:val="20"/>
              </w:rPr>
            </w:pPr>
            <w:r w:rsidRPr="00C82F26">
              <w:rPr>
                <w:sz w:val="20"/>
              </w:rPr>
              <w:t>Education Endowment Foundation:</w:t>
            </w:r>
          </w:p>
          <w:p w14:paraId="296007F2" w14:textId="77777777" w:rsidR="00574E4F" w:rsidRPr="00C82F26" w:rsidRDefault="00574E4F" w:rsidP="00574E4F">
            <w:pPr>
              <w:pStyle w:val="TableRowCentered"/>
              <w:ind w:left="0"/>
              <w:jc w:val="left"/>
              <w:rPr>
                <w:sz w:val="20"/>
              </w:rPr>
            </w:pPr>
            <w:r w:rsidRPr="00C82F26">
              <w:rPr>
                <w:sz w:val="20"/>
              </w:rPr>
              <w:t>Developing high quality teaching, assessment and a curriculum which responds to the needs of pupils</w:t>
            </w:r>
          </w:p>
          <w:p w14:paraId="60196EB5" w14:textId="77777777" w:rsidR="00574E4F" w:rsidRPr="00C82F26" w:rsidRDefault="00574E4F" w:rsidP="00574E4F">
            <w:pPr>
              <w:pStyle w:val="TableRowCentered"/>
              <w:ind w:left="0"/>
              <w:jc w:val="left"/>
              <w:rPr>
                <w:sz w:val="20"/>
              </w:rPr>
            </w:pPr>
          </w:p>
          <w:p w14:paraId="7AFA3519" w14:textId="77777777" w:rsidR="00574E4F" w:rsidRPr="00C82F26" w:rsidRDefault="00574E4F" w:rsidP="00574E4F">
            <w:pPr>
              <w:pStyle w:val="TableRowCentered"/>
              <w:ind w:left="0"/>
              <w:jc w:val="left"/>
              <w:rPr>
                <w:sz w:val="20"/>
              </w:rPr>
            </w:pPr>
            <w:r w:rsidRPr="00C82F26">
              <w:rPr>
                <w:sz w:val="20"/>
              </w:rPr>
              <w:t>Education Endowment Foundation:</w:t>
            </w:r>
          </w:p>
          <w:p w14:paraId="61B5EE7E" w14:textId="62D75C3B" w:rsidR="00574E4F" w:rsidRPr="00C82F26" w:rsidRDefault="00574E4F" w:rsidP="00574E4F">
            <w:pPr>
              <w:pStyle w:val="TableRowCentered"/>
              <w:ind w:left="0"/>
              <w:jc w:val="left"/>
              <w:rPr>
                <w:sz w:val="20"/>
              </w:rPr>
            </w:pPr>
            <w:r w:rsidRPr="00C82F26">
              <w:rPr>
                <w:sz w:val="20"/>
              </w:rPr>
              <w:t>Technology and other resources focussed on supporting high quality teaching and learning</w:t>
            </w:r>
          </w:p>
          <w:p w14:paraId="4A7EB1B8" w14:textId="77777777" w:rsidR="00574E4F" w:rsidRPr="00C82F26" w:rsidRDefault="00574E4F" w:rsidP="00574E4F">
            <w:pPr>
              <w:pStyle w:val="TableRowCentered"/>
              <w:ind w:left="0"/>
              <w:jc w:val="left"/>
              <w:rPr>
                <w:sz w:val="20"/>
              </w:rPr>
            </w:pPr>
          </w:p>
          <w:p w14:paraId="25282CEE" w14:textId="77777777" w:rsidR="00574E4F" w:rsidRPr="00C82F26" w:rsidRDefault="00574E4F" w:rsidP="00574E4F">
            <w:pPr>
              <w:pStyle w:val="TableRowCentered"/>
              <w:ind w:left="0"/>
              <w:jc w:val="left"/>
              <w:rPr>
                <w:sz w:val="20"/>
              </w:rPr>
            </w:pPr>
            <w:r w:rsidRPr="00C82F26">
              <w:rPr>
                <w:sz w:val="20"/>
              </w:rPr>
              <w:t>Education Endowment Foundation: Supporting pupils’ social, emotional and behavioural needs</w:t>
            </w:r>
          </w:p>
          <w:p w14:paraId="5648D34F" w14:textId="77777777" w:rsidR="00574E4F" w:rsidRPr="00C82F26" w:rsidRDefault="00574E4F" w:rsidP="00574E4F">
            <w:pPr>
              <w:pStyle w:val="TableRowCentered"/>
              <w:ind w:left="0"/>
              <w:jc w:val="left"/>
              <w:rPr>
                <w:sz w:val="20"/>
              </w:rPr>
            </w:pPr>
          </w:p>
          <w:p w14:paraId="72C5646B" w14:textId="77777777" w:rsidR="00574E4F" w:rsidRPr="00C82F26" w:rsidRDefault="00574E4F" w:rsidP="00574E4F">
            <w:pPr>
              <w:pStyle w:val="TableRowCentered"/>
              <w:ind w:left="0"/>
              <w:jc w:val="left"/>
              <w:rPr>
                <w:sz w:val="20"/>
              </w:rPr>
            </w:pPr>
            <w:r w:rsidRPr="00C82F26">
              <w:rPr>
                <w:sz w:val="20"/>
              </w:rPr>
              <w:t>Education Endowment Foundation:</w:t>
            </w:r>
          </w:p>
          <w:p w14:paraId="08851685" w14:textId="19AA4579" w:rsidR="00574E4F" w:rsidRPr="00C82F26" w:rsidRDefault="00574E4F" w:rsidP="00574E4F">
            <w:pPr>
              <w:pStyle w:val="TableRowCentered"/>
              <w:ind w:left="0"/>
              <w:jc w:val="left"/>
              <w:rPr>
                <w:sz w:val="20"/>
              </w:rPr>
            </w:pPr>
            <w:r w:rsidRPr="00C82F26">
              <w:rPr>
                <w:sz w:val="20"/>
              </w:rPr>
              <w:t>Communicate with and supporting parents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D9B98" w14:textId="0FBCD867" w:rsidR="00574E4F" w:rsidRPr="00C82F26" w:rsidRDefault="00574E4F">
            <w:pPr>
              <w:pStyle w:val="TableRowCentered"/>
              <w:jc w:val="left"/>
              <w:rPr>
                <w:sz w:val="20"/>
              </w:rPr>
            </w:pPr>
            <w:r w:rsidRPr="00C82F26">
              <w:rPr>
                <w:sz w:val="20"/>
              </w:rPr>
              <w:t>1, 2, 3, 4, 5, 6, 7, 8, 9</w:t>
            </w:r>
          </w:p>
        </w:tc>
      </w:tr>
      <w:tr w:rsidR="00C82F26" w14:paraId="68EF1D6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73416" w14:textId="46E8F48D" w:rsidR="00C82F26" w:rsidRPr="00C82F26" w:rsidRDefault="00C82F26">
            <w:pPr>
              <w:pStyle w:val="TableRow"/>
              <w:rPr>
                <w:sz w:val="20"/>
                <w:szCs w:val="20"/>
              </w:rPr>
            </w:pPr>
            <w:r w:rsidRPr="00C82F26">
              <w:rPr>
                <w:sz w:val="20"/>
                <w:szCs w:val="20"/>
              </w:rPr>
              <w:t xml:space="preserve">Two parent workshops delivered by Brighter Futures for Children. One </w:t>
            </w:r>
            <w:r w:rsidRPr="00C82F26">
              <w:rPr>
                <w:sz w:val="20"/>
                <w:szCs w:val="20"/>
              </w:rPr>
              <w:lastRenderedPageBreak/>
              <w:t>on the role of the Educational Psychologist and one on Sensory Processing and Massage Therapy-£105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778DD" w14:textId="77777777" w:rsidR="00BB1072" w:rsidRPr="00BB1072" w:rsidRDefault="00BB1072" w:rsidP="00BB1072">
            <w:pPr>
              <w:pStyle w:val="TableRowCentered"/>
              <w:ind w:left="0"/>
              <w:jc w:val="left"/>
              <w:rPr>
                <w:sz w:val="20"/>
              </w:rPr>
            </w:pPr>
            <w:r w:rsidRPr="00BB1072">
              <w:rPr>
                <w:sz w:val="20"/>
              </w:rPr>
              <w:lastRenderedPageBreak/>
              <w:t>Education Endowment Foundation: Supporting pupils’ social, emotional and behavioural needs</w:t>
            </w:r>
          </w:p>
          <w:p w14:paraId="282493A6" w14:textId="77777777" w:rsidR="00BB1072" w:rsidRPr="00BB1072" w:rsidRDefault="00BB1072" w:rsidP="00BB1072">
            <w:pPr>
              <w:pStyle w:val="TableRowCentered"/>
              <w:rPr>
                <w:sz w:val="20"/>
              </w:rPr>
            </w:pPr>
          </w:p>
          <w:p w14:paraId="41932B3C" w14:textId="77777777" w:rsidR="00BB1072" w:rsidRDefault="00BB1072" w:rsidP="00BB1072">
            <w:pPr>
              <w:pStyle w:val="TableRowCentered"/>
              <w:ind w:left="0"/>
              <w:jc w:val="left"/>
              <w:rPr>
                <w:sz w:val="20"/>
              </w:rPr>
            </w:pPr>
            <w:r w:rsidRPr="00BB1072">
              <w:rPr>
                <w:sz w:val="20"/>
              </w:rPr>
              <w:t>Education Endowment Foundation:</w:t>
            </w:r>
          </w:p>
          <w:p w14:paraId="4AF60795" w14:textId="67B2632A" w:rsidR="00C82F26" w:rsidRPr="00C82F26" w:rsidRDefault="00BB1072" w:rsidP="00BB1072">
            <w:pPr>
              <w:pStyle w:val="TableRowCentered"/>
              <w:ind w:left="0"/>
              <w:jc w:val="left"/>
              <w:rPr>
                <w:sz w:val="20"/>
              </w:rPr>
            </w:pPr>
            <w:r w:rsidRPr="00BB1072">
              <w:rPr>
                <w:sz w:val="20"/>
              </w:rPr>
              <w:t>Communicate with and supporting parents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DC5EE" w14:textId="3108E19C" w:rsidR="00C82F26" w:rsidRPr="00C82F26" w:rsidRDefault="00BB1072" w:rsidP="00BB1072">
            <w:pPr>
              <w:pStyle w:val="TableRowCentered"/>
              <w:ind w:left="0"/>
              <w:jc w:val="left"/>
              <w:rPr>
                <w:sz w:val="20"/>
              </w:rPr>
            </w:pPr>
            <w:r w:rsidRPr="00BB1072">
              <w:rPr>
                <w:sz w:val="20"/>
              </w:rPr>
              <w:lastRenderedPageBreak/>
              <w:t>1, 2, 3, 4, 5, 6, 7, 8, 9</w:t>
            </w:r>
          </w:p>
        </w:tc>
      </w:tr>
    </w:tbl>
    <w:p w14:paraId="2A7D5540" w14:textId="77777777" w:rsidR="00E66558" w:rsidRDefault="00E66558">
      <w:pPr>
        <w:spacing w:before="240" w:after="0"/>
        <w:rPr>
          <w:b/>
          <w:bCs/>
          <w:color w:val="104F75"/>
          <w:sz w:val="28"/>
          <w:szCs w:val="28"/>
        </w:rPr>
      </w:pPr>
    </w:p>
    <w:p w14:paraId="2A7D5541" w14:textId="37C0E152" w:rsidR="00E66558" w:rsidRDefault="009D71E8" w:rsidP="00120AB1">
      <w:pPr>
        <w:rPr>
          <w:b/>
          <w:bCs/>
          <w:color w:val="104F75"/>
          <w:sz w:val="28"/>
          <w:szCs w:val="28"/>
        </w:rPr>
      </w:pPr>
      <w:r>
        <w:rPr>
          <w:b/>
          <w:bCs/>
          <w:color w:val="104F75"/>
          <w:sz w:val="28"/>
          <w:szCs w:val="28"/>
        </w:rPr>
        <w:t xml:space="preserve">Total budgeted cost: </w:t>
      </w:r>
      <w:r w:rsidR="00002FC7">
        <w:rPr>
          <w:b/>
          <w:bCs/>
          <w:color w:val="104F75"/>
          <w:sz w:val="28"/>
          <w:szCs w:val="28"/>
        </w:rPr>
        <w:t>£</w:t>
      </w:r>
      <w:r w:rsidR="00002FC7" w:rsidRPr="00002FC7">
        <w:rPr>
          <w:b/>
          <w:bCs/>
          <w:color w:val="104F75"/>
          <w:sz w:val="28"/>
          <w:szCs w:val="28"/>
        </w:rPr>
        <w:t>57,582.71</w:t>
      </w:r>
    </w:p>
    <w:p w14:paraId="2DC318DA" w14:textId="115679BF" w:rsidR="009D5109" w:rsidRDefault="009D5109" w:rsidP="00120AB1">
      <w:pPr>
        <w:rPr>
          <w:b/>
          <w:color w:val="1F497D" w:themeColor="text2"/>
          <w:sz w:val="28"/>
          <w:szCs w:val="28"/>
        </w:rPr>
      </w:pPr>
      <w:r>
        <w:tab/>
      </w:r>
      <w:r>
        <w:tab/>
      </w:r>
      <w:r>
        <w:tab/>
        <w:t xml:space="preserve">          </w:t>
      </w:r>
      <w:r w:rsidRPr="009D5109">
        <w:rPr>
          <w:b/>
          <w:color w:val="1F497D" w:themeColor="text2"/>
          <w:sz w:val="28"/>
          <w:szCs w:val="28"/>
        </w:rPr>
        <w:t>£</w:t>
      </w:r>
      <w:r w:rsidR="00002FC7" w:rsidRPr="00002FC7">
        <w:rPr>
          <w:b/>
          <w:color w:val="1F497D" w:themeColor="text2"/>
          <w:sz w:val="28"/>
          <w:szCs w:val="28"/>
        </w:rPr>
        <w:t>43,991.11</w:t>
      </w:r>
    </w:p>
    <w:p w14:paraId="3894613B" w14:textId="7AF87AC6" w:rsidR="00574E4F" w:rsidRDefault="00574E4F" w:rsidP="00120AB1">
      <w:pPr>
        <w:rPr>
          <w:b/>
          <w:color w:val="1F497D" w:themeColor="text2"/>
          <w:sz w:val="28"/>
          <w:szCs w:val="28"/>
        </w:rPr>
      </w:pPr>
      <w:r>
        <w:rPr>
          <w:b/>
          <w:sz w:val="28"/>
          <w:szCs w:val="28"/>
        </w:rPr>
        <w:tab/>
      </w:r>
      <w:r>
        <w:rPr>
          <w:b/>
          <w:sz w:val="28"/>
          <w:szCs w:val="28"/>
        </w:rPr>
        <w:tab/>
      </w:r>
      <w:r>
        <w:rPr>
          <w:b/>
          <w:sz w:val="28"/>
          <w:szCs w:val="28"/>
        </w:rPr>
        <w:tab/>
      </w:r>
      <w:r>
        <w:rPr>
          <w:b/>
          <w:sz w:val="28"/>
          <w:szCs w:val="28"/>
        </w:rPr>
        <w:tab/>
      </w:r>
      <w:bookmarkStart w:id="23" w:name="_Hlk156566734"/>
      <w:r w:rsidRPr="00574E4F">
        <w:rPr>
          <w:b/>
          <w:color w:val="1F497D" w:themeColor="text2"/>
          <w:sz w:val="28"/>
          <w:szCs w:val="28"/>
        </w:rPr>
        <w:t>£</w:t>
      </w:r>
      <w:bookmarkEnd w:id="23"/>
      <w:r w:rsidR="00002FC7" w:rsidRPr="00002FC7">
        <w:rPr>
          <w:b/>
          <w:color w:val="1F497D" w:themeColor="text2"/>
          <w:sz w:val="28"/>
          <w:szCs w:val="28"/>
        </w:rPr>
        <w:t>22,180</w:t>
      </w:r>
      <w:r w:rsidR="00002FC7">
        <w:rPr>
          <w:b/>
          <w:color w:val="1F497D" w:themeColor="text2"/>
          <w:sz w:val="28"/>
          <w:szCs w:val="28"/>
        </w:rPr>
        <w:t>.00</w:t>
      </w:r>
    </w:p>
    <w:p w14:paraId="4AFC2923" w14:textId="00D76CBC" w:rsidR="00574E4F" w:rsidRPr="00574E4F" w:rsidRDefault="00574E4F" w:rsidP="00120AB1">
      <w:pPr>
        <w:rPr>
          <w:b/>
          <w:color w:val="1F497D" w:themeColor="text2"/>
          <w:sz w:val="28"/>
          <w:szCs w:val="28"/>
        </w:rPr>
      </w:pPr>
      <w:r>
        <w:rPr>
          <w:b/>
          <w:color w:val="1F497D" w:themeColor="text2"/>
          <w:sz w:val="28"/>
          <w:szCs w:val="28"/>
        </w:rPr>
        <w:t>= £</w:t>
      </w:r>
      <w:r w:rsidR="00002FC7">
        <w:rPr>
          <w:b/>
          <w:color w:val="1F497D" w:themeColor="text2"/>
          <w:sz w:val="28"/>
          <w:szCs w:val="28"/>
        </w:rPr>
        <w:t>123,753.82</w:t>
      </w:r>
    </w:p>
    <w:p w14:paraId="2A7D5542" w14:textId="18352EC3" w:rsidR="00E66558" w:rsidRPr="00D262D6" w:rsidRDefault="009D71E8" w:rsidP="00064366">
      <w:pPr>
        <w:pStyle w:val="Heading1"/>
        <w:rPr>
          <w:sz w:val="32"/>
          <w:szCs w:val="32"/>
        </w:rPr>
      </w:pPr>
      <w:r w:rsidRPr="00D262D6">
        <w:rPr>
          <w:sz w:val="32"/>
          <w:szCs w:val="32"/>
        </w:rPr>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11445" w:type="dxa"/>
        <w:tblInd w:w="-856" w:type="dxa"/>
        <w:tblCellMar>
          <w:left w:w="10" w:type="dxa"/>
          <w:right w:w="10" w:type="dxa"/>
        </w:tblCellMar>
        <w:tblLook w:val="04A0" w:firstRow="1" w:lastRow="0" w:firstColumn="1" w:lastColumn="0" w:noHBand="0" w:noVBand="1"/>
      </w:tblPr>
      <w:tblGrid>
        <w:gridCol w:w="11445"/>
      </w:tblGrid>
      <w:tr w:rsidR="00173D4C" w14:paraId="7FB51099" w14:textId="77777777" w:rsidTr="00CE5CC4">
        <w:trPr>
          <w:trHeight w:val="1102"/>
        </w:trPr>
        <w:tc>
          <w:tcPr>
            <w:tcW w:w="1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6304B4" w14:textId="32F3402C" w:rsidR="0064167B" w:rsidRPr="006E1500" w:rsidRDefault="006B3FDB" w:rsidP="00242093">
            <w:pPr>
              <w:spacing w:before="60"/>
              <w:rPr>
                <w:b/>
                <w:iCs/>
                <w:sz w:val="20"/>
                <w:szCs w:val="20"/>
                <w:lang w:eastAsia="en-US"/>
              </w:rPr>
            </w:pPr>
            <w:r w:rsidRPr="006E1500">
              <w:rPr>
                <w:b/>
                <w:iCs/>
                <w:sz w:val="20"/>
                <w:szCs w:val="20"/>
                <w:lang w:eastAsia="en-US"/>
              </w:rPr>
              <w:t>Data analysis 202</w:t>
            </w:r>
            <w:r w:rsidR="00D262D6">
              <w:rPr>
                <w:b/>
                <w:iCs/>
                <w:sz w:val="20"/>
                <w:szCs w:val="20"/>
                <w:lang w:eastAsia="en-US"/>
              </w:rPr>
              <w:t>3-2024</w:t>
            </w:r>
          </w:p>
          <w:p w14:paraId="0423BB4B" w14:textId="1ECD4EC3" w:rsidR="006B3FDB" w:rsidRPr="00F00E28" w:rsidRDefault="00D262D6" w:rsidP="006B3FDB">
            <w:pPr>
              <w:spacing w:before="60"/>
              <w:rPr>
                <w:i/>
                <w:iCs/>
                <w:sz w:val="16"/>
                <w:szCs w:val="16"/>
                <w:lang w:eastAsia="en-US"/>
              </w:rPr>
            </w:pPr>
            <w:r w:rsidRPr="00F00E28">
              <w:rPr>
                <w:i/>
                <w:iCs/>
                <w:sz w:val="16"/>
                <w:szCs w:val="16"/>
                <w:lang w:eastAsia="en-US"/>
              </w:rPr>
              <w:t>Year 2</w:t>
            </w:r>
            <w:r w:rsidR="00F00E28" w:rsidRPr="00F00E28">
              <w:rPr>
                <w:i/>
                <w:iCs/>
                <w:sz w:val="16"/>
                <w:szCs w:val="16"/>
                <w:lang w:eastAsia="en-US"/>
              </w:rPr>
              <w:t>-end of KS1 data</w:t>
            </w:r>
          </w:p>
          <w:tbl>
            <w:tblPr>
              <w:tblStyle w:val="TableGrid"/>
              <w:tblW w:w="0" w:type="auto"/>
              <w:tblLook w:val="04A0" w:firstRow="1" w:lastRow="0" w:firstColumn="1" w:lastColumn="0" w:noHBand="0" w:noVBand="1"/>
            </w:tblPr>
            <w:tblGrid>
              <w:gridCol w:w="1199"/>
              <w:gridCol w:w="828"/>
              <w:gridCol w:w="684"/>
              <w:gridCol w:w="769"/>
              <w:gridCol w:w="779"/>
              <w:gridCol w:w="678"/>
              <w:gridCol w:w="863"/>
              <w:gridCol w:w="769"/>
              <w:gridCol w:w="779"/>
              <w:gridCol w:w="785"/>
              <w:gridCol w:w="531"/>
              <w:gridCol w:w="576"/>
              <w:gridCol w:w="662"/>
              <w:gridCol w:w="669"/>
              <w:gridCol w:w="648"/>
            </w:tblGrid>
            <w:tr w:rsidR="00D262D6" w:rsidRPr="00491CB5" w14:paraId="0E662801" w14:textId="77777777" w:rsidTr="00F00E28">
              <w:tc>
                <w:tcPr>
                  <w:tcW w:w="1545" w:type="dxa"/>
                </w:tcPr>
                <w:p w14:paraId="5D0BA6A4"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Subject/Grouping </w:t>
                  </w:r>
                </w:p>
              </w:tc>
              <w:tc>
                <w:tcPr>
                  <w:tcW w:w="1043" w:type="dxa"/>
                </w:tcPr>
                <w:p w14:paraId="2304D139" w14:textId="77777777" w:rsidR="00D262D6" w:rsidRPr="00F00E28" w:rsidRDefault="00D262D6" w:rsidP="00D262D6">
                  <w:pPr>
                    <w:rPr>
                      <w:rFonts w:asciiTheme="minorHAnsi" w:hAnsiTheme="minorHAnsi" w:cstheme="minorHAnsi"/>
                      <w:caps/>
                      <w:sz w:val="12"/>
                      <w:szCs w:val="12"/>
                    </w:rPr>
                  </w:pPr>
                  <w:r w:rsidRPr="00F00E28">
                    <w:rPr>
                      <w:rFonts w:asciiTheme="minorHAnsi" w:hAnsiTheme="minorHAnsi" w:cstheme="minorHAnsi"/>
                      <w:caps/>
                      <w:sz w:val="12"/>
                      <w:szCs w:val="12"/>
                    </w:rPr>
                    <w:t>All children</w:t>
                  </w:r>
                </w:p>
                <w:p w14:paraId="0ADB43EA" w14:textId="77777777" w:rsidR="00D262D6" w:rsidRPr="00F00E28" w:rsidRDefault="00D262D6" w:rsidP="00D262D6">
                  <w:pPr>
                    <w:rPr>
                      <w:rFonts w:asciiTheme="minorHAnsi" w:hAnsiTheme="minorHAnsi" w:cstheme="minorHAnsi"/>
                      <w:caps/>
                      <w:sz w:val="12"/>
                      <w:szCs w:val="12"/>
                    </w:rPr>
                  </w:pPr>
                  <w:r w:rsidRPr="00F00E28">
                    <w:rPr>
                      <w:rFonts w:asciiTheme="minorHAnsi" w:hAnsiTheme="minorHAnsi" w:cstheme="minorHAnsi"/>
                      <w:caps/>
                      <w:sz w:val="12"/>
                      <w:szCs w:val="12"/>
                    </w:rPr>
                    <w:t xml:space="preserve">(LAST YEARS NATIONAL IN BRACKETS)  </w:t>
                  </w:r>
                </w:p>
              </w:tc>
              <w:tc>
                <w:tcPr>
                  <w:tcW w:w="849" w:type="dxa"/>
                </w:tcPr>
                <w:p w14:paraId="18C91112"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Children from end of year 1 </w:t>
                  </w:r>
                </w:p>
              </w:tc>
              <w:tc>
                <w:tcPr>
                  <w:tcW w:w="964" w:type="dxa"/>
                </w:tcPr>
                <w:p w14:paraId="74A0A7B1"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Children from before Christmas of Year 1 </w:t>
                  </w:r>
                </w:p>
              </w:tc>
              <w:tc>
                <w:tcPr>
                  <w:tcW w:w="976" w:type="dxa"/>
                </w:tcPr>
                <w:p w14:paraId="524E2E6E"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Children from before Christmas of Reception </w:t>
                  </w:r>
                </w:p>
              </w:tc>
              <w:tc>
                <w:tcPr>
                  <w:tcW w:w="840" w:type="dxa"/>
                </w:tcPr>
                <w:p w14:paraId="1C5818FD"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Without EHCPS – All </w:t>
                  </w:r>
                </w:p>
                <w:p w14:paraId="7AC37261" w14:textId="77777777" w:rsidR="00D262D6" w:rsidRPr="00F00E28" w:rsidRDefault="00D262D6" w:rsidP="00D262D6">
                  <w:pPr>
                    <w:rPr>
                      <w:rFonts w:asciiTheme="minorHAnsi" w:hAnsiTheme="minorHAnsi" w:cstheme="minorHAnsi"/>
                      <w:sz w:val="12"/>
                      <w:szCs w:val="12"/>
                    </w:rPr>
                  </w:pPr>
                </w:p>
              </w:tc>
              <w:tc>
                <w:tcPr>
                  <w:tcW w:w="1089" w:type="dxa"/>
                </w:tcPr>
                <w:p w14:paraId="3707F697"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Without EHCPS end of year 1</w:t>
                  </w:r>
                </w:p>
                <w:p w14:paraId="478BC25E"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(5 EHCPS – 4 special school candidates) </w:t>
                  </w:r>
                </w:p>
              </w:tc>
              <w:tc>
                <w:tcPr>
                  <w:tcW w:w="964" w:type="dxa"/>
                </w:tcPr>
                <w:p w14:paraId="57AC5CE0"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Without EHCPS – before Christmas year 1 </w:t>
                  </w:r>
                </w:p>
              </w:tc>
              <w:tc>
                <w:tcPr>
                  <w:tcW w:w="976" w:type="dxa"/>
                </w:tcPr>
                <w:p w14:paraId="0A73D738"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Without EHCPS before Christmas Reception </w:t>
                  </w:r>
                </w:p>
              </w:tc>
              <w:tc>
                <w:tcPr>
                  <w:tcW w:w="984" w:type="dxa"/>
                </w:tcPr>
                <w:p w14:paraId="19142AA8"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Children of African or Caribbean heritage</w:t>
                  </w:r>
                </w:p>
                <w:p w14:paraId="35B5220F"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(3 </w:t>
                  </w:r>
                  <w:proofErr w:type="spellStart"/>
                  <w:r w:rsidRPr="00F00E28">
                    <w:rPr>
                      <w:rFonts w:asciiTheme="minorHAnsi" w:hAnsiTheme="minorHAnsi" w:cstheme="minorHAnsi"/>
                      <w:sz w:val="12"/>
                      <w:szCs w:val="12"/>
                    </w:rPr>
                    <w:t>chn</w:t>
                  </w:r>
                  <w:proofErr w:type="spellEnd"/>
                  <w:r w:rsidRPr="00F00E28">
                    <w:rPr>
                      <w:rFonts w:asciiTheme="minorHAnsi" w:hAnsiTheme="minorHAnsi" w:cstheme="minorHAnsi"/>
                      <w:sz w:val="12"/>
                      <w:szCs w:val="12"/>
                    </w:rPr>
                    <w:t xml:space="preserve">)  </w:t>
                  </w:r>
                </w:p>
              </w:tc>
              <w:tc>
                <w:tcPr>
                  <w:tcW w:w="625" w:type="dxa"/>
                </w:tcPr>
                <w:p w14:paraId="00E867AE"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SEND – all </w:t>
                  </w:r>
                </w:p>
                <w:p w14:paraId="6EDE2399"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(16)</w:t>
                  </w:r>
                </w:p>
              </w:tc>
              <w:tc>
                <w:tcPr>
                  <w:tcW w:w="702" w:type="dxa"/>
                </w:tcPr>
                <w:p w14:paraId="5B0896EC"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SEND EHCPS</w:t>
                  </w:r>
                </w:p>
              </w:tc>
              <w:tc>
                <w:tcPr>
                  <w:tcW w:w="818" w:type="dxa"/>
                  <w:shd w:val="clear" w:color="auto" w:fill="auto"/>
                </w:tcPr>
                <w:p w14:paraId="7392C827"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SEND school Support </w:t>
                  </w:r>
                </w:p>
              </w:tc>
              <w:tc>
                <w:tcPr>
                  <w:tcW w:w="828" w:type="dxa"/>
                  <w:shd w:val="clear" w:color="auto" w:fill="B6DDE8" w:themeFill="accent5" w:themeFillTint="66"/>
                </w:tcPr>
                <w:p w14:paraId="61157A00"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Free school meals children </w:t>
                  </w:r>
                </w:p>
                <w:p w14:paraId="0FF63954"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w:t>
                  </w:r>
                </w:p>
              </w:tc>
              <w:tc>
                <w:tcPr>
                  <w:tcW w:w="745" w:type="dxa"/>
                  <w:shd w:val="clear" w:color="auto" w:fill="B6DDE8" w:themeFill="accent5" w:themeFillTint="66"/>
                </w:tcPr>
                <w:p w14:paraId="7402117F"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Free school meals children arrived before end of (year </w:t>
                  </w:r>
                  <w:proofErr w:type="gramStart"/>
                  <w:r w:rsidRPr="00F00E28">
                    <w:rPr>
                      <w:rFonts w:asciiTheme="minorHAnsi" w:hAnsiTheme="minorHAnsi" w:cstheme="minorHAnsi"/>
                      <w:sz w:val="12"/>
                      <w:szCs w:val="12"/>
                    </w:rPr>
                    <w:t>1  (</w:t>
                  </w:r>
                  <w:proofErr w:type="gramEnd"/>
                  <w:r w:rsidRPr="00F00E28">
                    <w:rPr>
                      <w:rFonts w:asciiTheme="minorHAnsi" w:hAnsiTheme="minorHAnsi" w:cstheme="minorHAnsi"/>
                      <w:sz w:val="12"/>
                      <w:szCs w:val="12"/>
                    </w:rPr>
                    <w:t xml:space="preserve">5) </w:t>
                  </w:r>
                </w:p>
              </w:tc>
            </w:tr>
            <w:tr w:rsidR="00491CB5" w:rsidRPr="00491CB5" w14:paraId="4264B34B" w14:textId="77777777" w:rsidTr="00F00E28">
              <w:tc>
                <w:tcPr>
                  <w:tcW w:w="1545" w:type="dxa"/>
                  <w:shd w:val="clear" w:color="auto" w:fill="FABF8F" w:themeFill="accent6" w:themeFillTint="99"/>
                </w:tcPr>
                <w:p w14:paraId="00197360"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Reading EXS</w:t>
                  </w:r>
                </w:p>
              </w:tc>
              <w:tc>
                <w:tcPr>
                  <w:tcW w:w="1043" w:type="dxa"/>
                  <w:shd w:val="clear" w:color="auto" w:fill="FABF8F" w:themeFill="accent6" w:themeFillTint="99"/>
                </w:tcPr>
                <w:p w14:paraId="6B6BE883"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64% (68%)</w:t>
                  </w:r>
                </w:p>
              </w:tc>
              <w:tc>
                <w:tcPr>
                  <w:tcW w:w="849" w:type="dxa"/>
                  <w:shd w:val="clear" w:color="auto" w:fill="FABF8F" w:themeFill="accent6" w:themeFillTint="99"/>
                </w:tcPr>
                <w:p w14:paraId="25C3E41A"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74%</w:t>
                  </w:r>
                </w:p>
              </w:tc>
              <w:tc>
                <w:tcPr>
                  <w:tcW w:w="964" w:type="dxa"/>
                  <w:shd w:val="clear" w:color="auto" w:fill="FABF8F" w:themeFill="accent6" w:themeFillTint="99"/>
                </w:tcPr>
                <w:p w14:paraId="671279F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75%</w:t>
                  </w:r>
                </w:p>
              </w:tc>
              <w:tc>
                <w:tcPr>
                  <w:tcW w:w="976" w:type="dxa"/>
                  <w:shd w:val="clear" w:color="auto" w:fill="FABF8F" w:themeFill="accent6" w:themeFillTint="99"/>
                </w:tcPr>
                <w:p w14:paraId="4ADD94E7"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77%</w:t>
                  </w:r>
                </w:p>
              </w:tc>
              <w:tc>
                <w:tcPr>
                  <w:tcW w:w="840" w:type="dxa"/>
                  <w:shd w:val="clear" w:color="auto" w:fill="FABF8F" w:themeFill="accent6" w:themeFillTint="99"/>
                </w:tcPr>
                <w:p w14:paraId="31A6472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70%</w:t>
                  </w:r>
                </w:p>
              </w:tc>
              <w:tc>
                <w:tcPr>
                  <w:tcW w:w="1089" w:type="dxa"/>
                  <w:shd w:val="clear" w:color="auto" w:fill="FABF8F" w:themeFill="accent6" w:themeFillTint="99"/>
                </w:tcPr>
                <w:p w14:paraId="53043F7D"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84%</w:t>
                  </w:r>
                </w:p>
              </w:tc>
              <w:tc>
                <w:tcPr>
                  <w:tcW w:w="964" w:type="dxa"/>
                  <w:shd w:val="clear" w:color="auto" w:fill="FABF8F" w:themeFill="accent6" w:themeFillTint="99"/>
                </w:tcPr>
                <w:p w14:paraId="65049193"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87.5%</w:t>
                  </w:r>
                </w:p>
              </w:tc>
              <w:tc>
                <w:tcPr>
                  <w:tcW w:w="976" w:type="dxa"/>
                  <w:shd w:val="clear" w:color="auto" w:fill="FABF8F" w:themeFill="accent6" w:themeFillTint="99"/>
                </w:tcPr>
                <w:p w14:paraId="7B51953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94%</w:t>
                  </w:r>
                </w:p>
              </w:tc>
              <w:tc>
                <w:tcPr>
                  <w:tcW w:w="984" w:type="dxa"/>
                  <w:shd w:val="clear" w:color="auto" w:fill="FABF8F" w:themeFill="accent6" w:themeFillTint="99"/>
                </w:tcPr>
                <w:p w14:paraId="03D6062C"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66%</w:t>
                  </w:r>
                </w:p>
                <w:p w14:paraId="44B7797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(70%) </w:t>
                  </w:r>
                </w:p>
              </w:tc>
              <w:tc>
                <w:tcPr>
                  <w:tcW w:w="625" w:type="dxa"/>
                  <w:shd w:val="clear" w:color="auto" w:fill="FABF8F" w:themeFill="accent6" w:themeFillTint="99"/>
                </w:tcPr>
                <w:p w14:paraId="4DBB758A"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43%</w:t>
                  </w:r>
                </w:p>
                <w:p w14:paraId="2B99088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(28%) </w:t>
                  </w:r>
                </w:p>
              </w:tc>
              <w:tc>
                <w:tcPr>
                  <w:tcW w:w="702" w:type="dxa"/>
                  <w:shd w:val="clear" w:color="auto" w:fill="FABF8F" w:themeFill="accent6" w:themeFillTint="99"/>
                </w:tcPr>
                <w:p w14:paraId="28E8CAE8"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p w14:paraId="05BCF20A"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(12%) </w:t>
                  </w:r>
                </w:p>
              </w:tc>
              <w:tc>
                <w:tcPr>
                  <w:tcW w:w="818" w:type="dxa"/>
                  <w:shd w:val="clear" w:color="auto" w:fill="FABF8F" w:themeFill="accent6" w:themeFillTint="99"/>
                </w:tcPr>
                <w:p w14:paraId="3C9E0F3F"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67%</w:t>
                  </w:r>
                </w:p>
                <w:p w14:paraId="16BBC4C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(32%) </w:t>
                  </w:r>
                </w:p>
              </w:tc>
              <w:tc>
                <w:tcPr>
                  <w:tcW w:w="828" w:type="dxa"/>
                  <w:shd w:val="clear" w:color="auto" w:fill="B6DDE8" w:themeFill="accent5" w:themeFillTint="66"/>
                </w:tcPr>
                <w:p w14:paraId="3C788E1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50% (54%) </w:t>
                  </w:r>
                </w:p>
              </w:tc>
              <w:tc>
                <w:tcPr>
                  <w:tcW w:w="745" w:type="dxa"/>
                  <w:shd w:val="clear" w:color="auto" w:fill="B6DDE8" w:themeFill="accent5" w:themeFillTint="66"/>
                </w:tcPr>
                <w:p w14:paraId="77EFB7A2"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60%</w:t>
                  </w:r>
                </w:p>
              </w:tc>
            </w:tr>
            <w:tr w:rsidR="00491CB5" w:rsidRPr="00491CB5" w14:paraId="6910F46F" w14:textId="77777777" w:rsidTr="00F00E28">
              <w:tc>
                <w:tcPr>
                  <w:tcW w:w="1545" w:type="dxa"/>
                  <w:shd w:val="clear" w:color="auto" w:fill="FABF8F" w:themeFill="accent6" w:themeFillTint="99"/>
                </w:tcPr>
                <w:p w14:paraId="2C3F1E63"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Writing EXS</w:t>
                  </w:r>
                </w:p>
              </w:tc>
              <w:tc>
                <w:tcPr>
                  <w:tcW w:w="1043" w:type="dxa"/>
                  <w:shd w:val="clear" w:color="auto" w:fill="FABF8F" w:themeFill="accent6" w:themeFillTint="99"/>
                </w:tcPr>
                <w:p w14:paraId="0C7D832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62% (60%)</w:t>
                  </w:r>
                </w:p>
              </w:tc>
              <w:tc>
                <w:tcPr>
                  <w:tcW w:w="849" w:type="dxa"/>
                  <w:shd w:val="clear" w:color="auto" w:fill="FABF8F" w:themeFill="accent6" w:themeFillTint="99"/>
                </w:tcPr>
                <w:p w14:paraId="461D11B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71%</w:t>
                  </w:r>
                </w:p>
              </w:tc>
              <w:tc>
                <w:tcPr>
                  <w:tcW w:w="964" w:type="dxa"/>
                  <w:shd w:val="clear" w:color="auto" w:fill="FABF8F" w:themeFill="accent6" w:themeFillTint="99"/>
                </w:tcPr>
                <w:p w14:paraId="643D42D7"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72%</w:t>
                  </w:r>
                </w:p>
              </w:tc>
              <w:tc>
                <w:tcPr>
                  <w:tcW w:w="976" w:type="dxa"/>
                  <w:shd w:val="clear" w:color="auto" w:fill="FABF8F" w:themeFill="accent6" w:themeFillTint="99"/>
                </w:tcPr>
                <w:p w14:paraId="1D3A1623"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73%</w:t>
                  </w:r>
                </w:p>
              </w:tc>
              <w:tc>
                <w:tcPr>
                  <w:tcW w:w="840" w:type="dxa"/>
                  <w:shd w:val="clear" w:color="auto" w:fill="FABF8F" w:themeFill="accent6" w:themeFillTint="99"/>
                </w:tcPr>
                <w:p w14:paraId="587002FF"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68%</w:t>
                  </w:r>
                </w:p>
              </w:tc>
              <w:tc>
                <w:tcPr>
                  <w:tcW w:w="1089" w:type="dxa"/>
                  <w:shd w:val="clear" w:color="auto" w:fill="FABF8F" w:themeFill="accent6" w:themeFillTint="99"/>
                </w:tcPr>
                <w:p w14:paraId="5C2FD903"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81%</w:t>
                  </w:r>
                </w:p>
              </w:tc>
              <w:tc>
                <w:tcPr>
                  <w:tcW w:w="964" w:type="dxa"/>
                  <w:shd w:val="clear" w:color="auto" w:fill="FABF8F" w:themeFill="accent6" w:themeFillTint="99"/>
                </w:tcPr>
                <w:p w14:paraId="32A522E7"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82%</w:t>
                  </w:r>
                </w:p>
              </w:tc>
              <w:tc>
                <w:tcPr>
                  <w:tcW w:w="976" w:type="dxa"/>
                  <w:shd w:val="clear" w:color="auto" w:fill="FABF8F" w:themeFill="accent6" w:themeFillTint="99"/>
                </w:tcPr>
                <w:p w14:paraId="0438D77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89%</w:t>
                  </w:r>
                </w:p>
              </w:tc>
              <w:tc>
                <w:tcPr>
                  <w:tcW w:w="984" w:type="dxa"/>
                  <w:shd w:val="clear" w:color="auto" w:fill="FABF8F" w:themeFill="accent6" w:themeFillTint="99"/>
                </w:tcPr>
                <w:p w14:paraId="13AE4753"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66%</w:t>
                  </w:r>
                </w:p>
                <w:p w14:paraId="1FF2E7E3"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(63%)</w:t>
                  </w:r>
                </w:p>
              </w:tc>
              <w:tc>
                <w:tcPr>
                  <w:tcW w:w="625" w:type="dxa"/>
                  <w:shd w:val="clear" w:color="auto" w:fill="FABF8F" w:themeFill="accent6" w:themeFillTint="99"/>
                </w:tcPr>
                <w:p w14:paraId="44B6B3CD"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43%</w:t>
                  </w:r>
                </w:p>
                <w:p w14:paraId="301C8C20"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(19%) </w:t>
                  </w:r>
                </w:p>
                <w:p w14:paraId="52387A7F" w14:textId="77777777" w:rsidR="00D262D6" w:rsidRPr="00F00E28" w:rsidRDefault="00D262D6" w:rsidP="00D262D6">
                  <w:pPr>
                    <w:rPr>
                      <w:rFonts w:asciiTheme="minorHAnsi" w:hAnsiTheme="minorHAnsi" w:cstheme="minorHAnsi"/>
                      <w:sz w:val="12"/>
                      <w:szCs w:val="12"/>
                    </w:rPr>
                  </w:pPr>
                </w:p>
              </w:tc>
              <w:tc>
                <w:tcPr>
                  <w:tcW w:w="702" w:type="dxa"/>
                  <w:shd w:val="clear" w:color="auto" w:fill="FABF8F" w:themeFill="accent6" w:themeFillTint="99"/>
                </w:tcPr>
                <w:p w14:paraId="5BC02FEE"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p w14:paraId="76FB9679"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w:t>
                  </w:r>
                </w:p>
              </w:tc>
              <w:tc>
                <w:tcPr>
                  <w:tcW w:w="818" w:type="dxa"/>
                  <w:shd w:val="clear" w:color="auto" w:fill="FABF8F" w:themeFill="accent6" w:themeFillTint="99"/>
                </w:tcPr>
                <w:p w14:paraId="2CC89812"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67%</w:t>
                  </w:r>
                </w:p>
                <w:p w14:paraId="267EA49C"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(22%) </w:t>
                  </w:r>
                </w:p>
              </w:tc>
              <w:tc>
                <w:tcPr>
                  <w:tcW w:w="828" w:type="dxa"/>
                  <w:shd w:val="clear" w:color="auto" w:fill="B6DDE8" w:themeFill="accent5" w:themeFillTint="66"/>
                </w:tcPr>
                <w:p w14:paraId="637DC5BE"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50%</w:t>
                  </w:r>
                </w:p>
                <w:p w14:paraId="6B17F864"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(44%)</w:t>
                  </w:r>
                </w:p>
              </w:tc>
              <w:tc>
                <w:tcPr>
                  <w:tcW w:w="745" w:type="dxa"/>
                  <w:shd w:val="clear" w:color="auto" w:fill="B6DDE8" w:themeFill="accent5" w:themeFillTint="66"/>
                </w:tcPr>
                <w:p w14:paraId="11A1038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60%</w:t>
                  </w:r>
                </w:p>
              </w:tc>
            </w:tr>
            <w:tr w:rsidR="00491CB5" w:rsidRPr="00491CB5" w14:paraId="105C6370" w14:textId="77777777" w:rsidTr="00F00E28">
              <w:tc>
                <w:tcPr>
                  <w:tcW w:w="1545" w:type="dxa"/>
                  <w:shd w:val="clear" w:color="auto" w:fill="FABF8F" w:themeFill="accent6" w:themeFillTint="99"/>
                </w:tcPr>
                <w:p w14:paraId="4A7E2E79" w14:textId="77777777" w:rsidR="00D262D6" w:rsidRPr="00F00E28" w:rsidRDefault="00D262D6" w:rsidP="00D262D6">
                  <w:pPr>
                    <w:rPr>
                      <w:rFonts w:asciiTheme="minorHAnsi" w:hAnsiTheme="minorHAnsi" w:cstheme="minorHAnsi"/>
                      <w:sz w:val="12"/>
                      <w:szCs w:val="12"/>
                    </w:rPr>
                  </w:pPr>
                  <w:proofErr w:type="gramStart"/>
                  <w:r w:rsidRPr="00F00E28">
                    <w:rPr>
                      <w:rFonts w:asciiTheme="minorHAnsi" w:hAnsiTheme="minorHAnsi" w:cstheme="minorHAnsi"/>
                      <w:sz w:val="12"/>
                      <w:szCs w:val="12"/>
                    </w:rPr>
                    <w:t>Maths  EXS</w:t>
                  </w:r>
                  <w:proofErr w:type="gramEnd"/>
                </w:p>
              </w:tc>
              <w:tc>
                <w:tcPr>
                  <w:tcW w:w="1043" w:type="dxa"/>
                  <w:shd w:val="clear" w:color="auto" w:fill="FABF8F" w:themeFill="accent6" w:themeFillTint="99"/>
                </w:tcPr>
                <w:p w14:paraId="65C9C43A"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65.5% (70%) </w:t>
                  </w:r>
                </w:p>
              </w:tc>
              <w:tc>
                <w:tcPr>
                  <w:tcW w:w="849" w:type="dxa"/>
                  <w:shd w:val="clear" w:color="auto" w:fill="FABF8F" w:themeFill="accent6" w:themeFillTint="99"/>
                </w:tcPr>
                <w:p w14:paraId="0879D0F9"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76%</w:t>
                  </w:r>
                </w:p>
              </w:tc>
              <w:tc>
                <w:tcPr>
                  <w:tcW w:w="964" w:type="dxa"/>
                  <w:shd w:val="clear" w:color="auto" w:fill="FABF8F" w:themeFill="accent6" w:themeFillTint="99"/>
                </w:tcPr>
                <w:p w14:paraId="4452832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78%</w:t>
                  </w:r>
                </w:p>
              </w:tc>
              <w:tc>
                <w:tcPr>
                  <w:tcW w:w="976" w:type="dxa"/>
                  <w:shd w:val="clear" w:color="auto" w:fill="FABF8F" w:themeFill="accent6" w:themeFillTint="99"/>
                </w:tcPr>
                <w:p w14:paraId="2C7E2677"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82%</w:t>
                  </w:r>
                </w:p>
              </w:tc>
              <w:tc>
                <w:tcPr>
                  <w:tcW w:w="840" w:type="dxa"/>
                  <w:shd w:val="clear" w:color="auto" w:fill="FABF8F" w:themeFill="accent6" w:themeFillTint="99"/>
                </w:tcPr>
                <w:p w14:paraId="7E967F04"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72%</w:t>
                  </w:r>
                </w:p>
              </w:tc>
              <w:tc>
                <w:tcPr>
                  <w:tcW w:w="1089" w:type="dxa"/>
                  <w:shd w:val="clear" w:color="auto" w:fill="FABF8F" w:themeFill="accent6" w:themeFillTint="99"/>
                </w:tcPr>
                <w:p w14:paraId="6E93A9D9"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86%</w:t>
                  </w:r>
                </w:p>
              </w:tc>
              <w:tc>
                <w:tcPr>
                  <w:tcW w:w="964" w:type="dxa"/>
                  <w:shd w:val="clear" w:color="auto" w:fill="FABF8F" w:themeFill="accent6" w:themeFillTint="99"/>
                </w:tcPr>
                <w:p w14:paraId="31E7CB2A"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89%</w:t>
                  </w:r>
                </w:p>
              </w:tc>
              <w:tc>
                <w:tcPr>
                  <w:tcW w:w="976" w:type="dxa"/>
                  <w:shd w:val="clear" w:color="auto" w:fill="FABF8F" w:themeFill="accent6" w:themeFillTint="99"/>
                </w:tcPr>
                <w:p w14:paraId="2469E24D"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100%</w:t>
                  </w:r>
                </w:p>
              </w:tc>
              <w:tc>
                <w:tcPr>
                  <w:tcW w:w="984" w:type="dxa"/>
                  <w:shd w:val="clear" w:color="auto" w:fill="FABF8F" w:themeFill="accent6" w:themeFillTint="99"/>
                </w:tcPr>
                <w:p w14:paraId="0D1B67DC"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33%</w:t>
                  </w:r>
                </w:p>
                <w:p w14:paraId="6F6C2C20"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(69%)</w:t>
                  </w:r>
                </w:p>
              </w:tc>
              <w:tc>
                <w:tcPr>
                  <w:tcW w:w="625" w:type="dxa"/>
                  <w:shd w:val="clear" w:color="auto" w:fill="FABF8F" w:themeFill="accent6" w:themeFillTint="99"/>
                </w:tcPr>
                <w:p w14:paraId="23E5B339"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43%</w:t>
                  </w:r>
                </w:p>
                <w:p w14:paraId="3E196541"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(29%) </w:t>
                  </w:r>
                </w:p>
              </w:tc>
              <w:tc>
                <w:tcPr>
                  <w:tcW w:w="702" w:type="dxa"/>
                  <w:shd w:val="clear" w:color="auto" w:fill="FABF8F" w:themeFill="accent6" w:themeFillTint="99"/>
                </w:tcPr>
                <w:p w14:paraId="6F4E3664"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p w14:paraId="26899AFB"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(15%) </w:t>
                  </w:r>
                </w:p>
              </w:tc>
              <w:tc>
                <w:tcPr>
                  <w:tcW w:w="818" w:type="dxa"/>
                  <w:shd w:val="clear" w:color="auto" w:fill="FABF8F" w:themeFill="accent6" w:themeFillTint="99"/>
                </w:tcPr>
                <w:p w14:paraId="080B6461"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67%</w:t>
                  </w:r>
                </w:p>
                <w:p w14:paraId="3816A4DF"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(37%) </w:t>
                  </w:r>
                </w:p>
              </w:tc>
              <w:tc>
                <w:tcPr>
                  <w:tcW w:w="828" w:type="dxa"/>
                  <w:shd w:val="clear" w:color="auto" w:fill="B6DDE8" w:themeFill="accent5" w:themeFillTint="66"/>
                </w:tcPr>
                <w:p w14:paraId="57BFCB5D"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50%</w:t>
                  </w:r>
                </w:p>
                <w:p w14:paraId="73E98C2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(56%) </w:t>
                  </w:r>
                </w:p>
              </w:tc>
              <w:tc>
                <w:tcPr>
                  <w:tcW w:w="745" w:type="dxa"/>
                  <w:shd w:val="clear" w:color="auto" w:fill="B6DDE8" w:themeFill="accent5" w:themeFillTint="66"/>
                </w:tcPr>
                <w:p w14:paraId="61B24DB8"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80%</w:t>
                  </w:r>
                </w:p>
              </w:tc>
            </w:tr>
            <w:tr w:rsidR="00491CB5" w:rsidRPr="00491CB5" w14:paraId="66094C85" w14:textId="77777777" w:rsidTr="00F00E28">
              <w:tc>
                <w:tcPr>
                  <w:tcW w:w="1545" w:type="dxa"/>
                  <w:shd w:val="clear" w:color="auto" w:fill="FABF8F" w:themeFill="accent6" w:themeFillTint="99"/>
                </w:tcPr>
                <w:p w14:paraId="435F8020"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Combined EXS </w:t>
                  </w:r>
                </w:p>
              </w:tc>
              <w:tc>
                <w:tcPr>
                  <w:tcW w:w="1043" w:type="dxa"/>
                  <w:shd w:val="clear" w:color="auto" w:fill="FABF8F" w:themeFill="accent6" w:themeFillTint="99"/>
                </w:tcPr>
                <w:p w14:paraId="41C32D8E"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60%</w:t>
                  </w:r>
                </w:p>
              </w:tc>
              <w:tc>
                <w:tcPr>
                  <w:tcW w:w="849" w:type="dxa"/>
                  <w:shd w:val="clear" w:color="auto" w:fill="FABF8F" w:themeFill="accent6" w:themeFillTint="99"/>
                </w:tcPr>
                <w:p w14:paraId="77B789EF"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71%</w:t>
                  </w:r>
                </w:p>
              </w:tc>
              <w:tc>
                <w:tcPr>
                  <w:tcW w:w="964" w:type="dxa"/>
                  <w:shd w:val="clear" w:color="auto" w:fill="FABF8F" w:themeFill="accent6" w:themeFillTint="99"/>
                </w:tcPr>
                <w:p w14:paraId="57337E7F"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72%</w:t>
                  </w:r>
                </w:p>
              </w:tc>
              <w:tc>
                <w:tcPr>
                  <w:tcW w:w="976" w:type="dxa"/>
                  <w:shd w:val="clear" w:color="auto" w:fill="FABF8F" w:themeFill="accent6" w:themeFillTint="99"/>
                </w:tcPr>
                <w:p w14:paraId="6D88C4E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73%</w:t>
                  </w:r>
                </w:p>
              </w:tc>
              <w:tc>
                <w:tcPr>
                  <w:tcW w:w="840" w:type="dxa"/>
                  <w:shd w:val="clear" w:color="auto" w:fill="FABF8F" w:themeFill="accent6" w:themeFillTint="99"/>
                </w:tcPr>
                <w:p w14:paraId="32F68193"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66%</w:t>
                  </w:r>
                </w:p>
              </w:tc>
              <w:tc>
                <w:tcPr>
                  <w:tcW w:w="1089" w:type="dxa"/>
                  <w:shd w:val="clear" w:color="auto" w:fill="FABF8F" w:themeFill="accent6" w:themeFillTint="99"/>
                </w:tcPr>
                <w:p w14:paraId="35D5ABF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81%</w:t>
                  </w:r>
                </w:p>
              </w:tc>
              <w:tc>
                <w:tcPr>
                  <w:tcW w:w="964" w:type="dxa"/>
                  <w:shd w:val="clear" w:color="auto" w:fill="FABF8F" w:themeFill="accent6" w:themeFillTint="99"/>
                </w:tcPr>
                <w:p w14:paraId="6132C1C0"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82%</w:t>
                  </w:r>
                </w:p>
              </w:tc>
              <w:tc>
                <w:tcPr>
                  <w:tcW w:w="976" w:type="dxa"/>
                  <w:shd w:val="clear" w:color="auto" w:fill="FABF8F" w:themeFill="accent6" w:themeFillTint="99"/>
                </w:tcPr>
                <w:p w14:paraId="733FC43B"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89%</w:t>
                  </w:r>
                </w:p>
              </w:tc>
              <w:tc>
                <w:tcPr>
                  <w:tcW w:w="984" w:type="dxa"/>
                  <w:shd w:val="clear" w:color="auto" w:fill="FABF8F" w:themeFill="accent6" w:themeFillTint="99"/>
                </w:tcPr>
                <w:p w14:paraId="7057F15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33%</w:t>
                  </w:r>
                </w:p>
              </w:tc>
              <w:tc>
                <w:tcPr>
                  <w:tcW w:w="625" w:type="dxa"/>
                  <w:shd w:val="clear" w:color="auto" w:fill="FABF8F" w:themeFill="accent6" w:themeFillTint="99"/>
                </w:tcPr>
                <w:p w14:paraId="78D24B47"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43%</w:t>
                  </w:r>
                </w:p>
              </w:tc>
              <w:tc>
                <w:tcPr>
                  <w:tcW w:w="702" w:type="dxa"/>
                  <w:shd w:val="clear" w:color="auto" w:fill="FABF8F" w:themeFill="accent6" w:themeFillTint="99"/>
                </w:tcPr>
                <w:p w14:paraId="369ED74F"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818" w:type="dxa"/>
                  <w:shd w:val="clear" w:color="auto" w:fill="FABF8F" w:themeFill="accent6" w:themeFillTint="99"/>
                </w:tcPr>
                <w:p w14:paraId="06B6B690"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67%</w:t>
                  </w:r>
                </w:p>
              </w:tc>
              <w:tc>
                <w:tcPr>
                  <w:tcW w:w="828" w:type="dxa"/>
                  <w:shd w:val="clear" w:color="auto" w:fill="B6DDE8" w:themeFill="accent5" w:themeFillTint="66"/>
                </w:tcPr>
                <w:p w14:paraId="2A866304"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50%</w:t>
                  </w:r>
                </w:p>
              </w:tc>
              <w:tc>
                <w:tcPr>
                  <w:tcW w:w="745" w:type="dxa"/>
                  <w:shd w:val="clear" w:color="auto" w:fill="B6DDE8" w:themeFill="accent5" w:themeFillTint="66"/>
                </w:tcPr>
                <w:p w14:paraId="00916CD8"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60%</w:t>
                  </w:r>
                </w:p>
              </w:tc>
            </w:tr>
            <w:tr w:rsidR="00491CB5" w:rsidRPr="00491CB5" w14:paraId="3218AAF6" w14:textId="77777777" w:rsidTr="00F00E28">
              <w:tc>
                <w:tcPr>
                  <w:tcW w:w="1545" w:type="dxa"/>
                  <w:shd w:val="clear" w:color="auto" w:fill="C2D69B" w:themeFill="accent3" w:themeFillTint="99"/>
                </w:tcPr>
                <w:p w14:paraId="0DC9710C"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Reading GDS</w:t>
                  </w:r>
                </w:p>
              </w:tc>
              <w:tc>
                <w:tcPr>
                  <w:tcW w:w="1043" w:type="dxa"/>
                  <w:shd w:val="clear" w:color="auto" w:fill="C2D69B" w:themeFill="accent3" w:themeFillTint="99"/>
                </w:tcPr>
                <w:p w14:paraId="0402996D"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10% (19%) </w:t>
                  </w:r>
                </w:p>
              </w:tc>
              <w:tc>
                <w:tcPr>
                  <w:tcW w:w="849" w:type="dxa"/>
                  <w:shd w:val="clear" w:color="auto" w:fill="C2D69B" w:themeFill="accent3" w:themeFillTint="99"/>
                </w:tcPr>
                <w:p w14:paraId="72C4A9AF"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9%</w:t>
                  </w:r>
                </w:p>
              </w:tc>
              <w:tc>
                <w:tcPr>
                  <w:tcW w:w="964" w:type="dxa"/>
                  <w:shd w:val="clear" w:color="auto" w:fill="C2D69B" w:themeFill="accent3" w:themeFillTint="99"/>
                </w:tcPr>
                <w:p w14:paraId="7DAE9C8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12.5%</w:t>
                  </w:r>
                </w:p>
              </w:tc>
              <w:tc>
                <w:tcPr>
                  <w:tcW w:w="976" w:type="dxa"/>
                  <w:shd w:val="clear" w:color="auto" w:fill="C2D69B" w:themeFill="accent3" w:themeFillTint="99"/>
                </w:tcPr>
                <w:p w14:paraId="2EB7CDEC"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12%</w:t>
                  </w:r>
                </w:p>
              </w:tc>
              <w:tc>
                <w:tcPr>
                  <w:tcW w:w="840" w:type="dxa"/>
                  <w:shd w:val="clear" w:color="auto" w:fill="C2D69B" w:themeFill="accent3" w:themeFillTint="99"/>
                </w:tcPr>
                <w:p w14:paraId="5C639958"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18%</w:t>
                  </w:r>
                </w:p>
              </w:tc>
              <w:tc>
                <w:tcPr>
                  <w:tcW w:w="1089" w:type="dxa"/>
                  <w:shd w:val="clear" w:color="auto" w:fill="C2D69B" w:themeFill="accent3" w:themeFillTint="99"/>
                </w:tcPr>
                <w:p w14:paraId="73FEB12A"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11%</w:t>
                  </w:r>
                </w:p>
              </w:tc>
              <w:tc>
                <w:tcPr>
                  <w:tcW w:w="964" w:type="dxa"/>
                  <w:shd w:val="clear" w:color="auto" w:fill="C2D69B" w:themeFill="accent3" w:themeFillTint="99"/>
                </w:tcPr>
                <w:p w14:paraId="0CDF7D31"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14%</w:t>
                  </w:r>
                </w:p>
              </w:tc>
              <w:tc>
                <w:tcPr>
                  <w:tcW w:w="976" w:type="dxa"/>
                  <w:shd w:val="clear" w:color="auto" w:fill="C2D69B" w:themeFill="accent3" w:themeFillTint="99"/>
                </w:tcPr>
                <w:p w14:paraId="74D267B0"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12.5%</w:t>
                  </w:r>
                </w:p>
              </w:tc>
              <w:tc>
                <w:tcPr>
                  <w:tcW w:w="984" w:type="dxa"/>
                  <w:shd w:val="clear" w:color="auto" w:fill="C2D69B" w:themeFill="accent3" w:themeFillTint="99"/>
                </w:tcPr>
                <w:p w14:paraId="46E0AF31"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625" w:type="dxa"/>
                  <w:shd w:val="clear" w:color="auto" w:fill="C2D69B" w:themeFill="accent3" w:themeFillTint="99"/>
                </w:tcPr>
                <w:p w14:paraId="34ADC624"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12%</w:t>
                  </w:r>
                </w:p>
              </w:tc>
              <w:tc>
                <w:tcPr>
                  <w:tcW w:w="702" w:type="dxa"/>
                  <w:shd w:val="clear" w:color="auto" w:fill="C2D69B" w:themeFill="accent3" w:themeFillTint="99"/>
                </w:tcPr>
                <w:p w14:paraId="099716AB"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818" w:type="dxa"/>
                  <w:shd w:val="clear" w:color="auto" w:fill="C2D69B" w:themeFill="accent3" w:themeFillTint="99"/>
                </w:tcPr>
                <w:p w14:paraId="044D4B7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18%</w:t>
                  </w:r>
                </w:p>
              </w:tc>
              <w:tc>
                <w:tcPr>
                  <w:tcW w:w="828" w:type="dxa"/>
                  <w:shd w:val="clear" w:color="auto" w:fill="B6DDE8" w:themeFill="accent5" w:themeFillTint="66"/>
                </w:tcPr>
                <w:p w14:paraId="245476DC"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745" w:type="dxa"/>
                  <w:shd w:val="clear" w:color="auto" w:fill="B6DDE8" w:themeFill="accent5" w:themeFillTint="66"/>
                </w:tcPr>
                <w:p w14:paraId="5760A7F8"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r>
            <w:tr w:rsidR="00491CB5" w:rsidRPr="00491CB5" w14:paraId="6097F763" w14:textId="77777777" w:rsidTr="00F00E28">
              <w:tc>
                <w:tcPr>
                  <w:tcW w:w="1545" w:type="dxa"/>
                  <w:shd w:val="clear" w:color="auto" w:fill="C2D69B" w:themeFill="accent3" w:themeFillTint="99"/>
                </w:tcPr>
                <w:p w14:paraId="77637F59"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Writing GDS</w:t>
                  </w:r>
                </w:p>
              </w:tc>
              <w:tc>
                <w:tcPr>
                  <w:tcW w:w="1043" w:type="dxa"/>
                  <w:shd w:val="clear" w:color="auto" w:fill="C2D69B" w:themeFill="accent3" w:themeFillTint="99"/>
                </w:tcPr>
                <w:p w14:paraId="3F196D52"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6% (8%) </w:t>
                  </w:r>
                </w:p>
              </w:tc>
              <w:tc>
                <w:tcPr>
                  <w:tcW w:w="849" w:type="dxa"/>
                  <w:shd w:val="clear" w:color="auto" w:fill="C2D69B" w:themeFill="accent3" w:themeFillTint="99"/>
                </w:tcPr>
                <w:p w14:paraId="4D83C38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w:t>
                  </w:r>
                </w:p>
              </w:tc>
              <w:tc>
                <w:tcPr>
                  <w:tcW w:w="964" w:type="dxa"/>
                  <w:shd w:val="clear" w:color="auto" w:fill="C2D69B" w:themeFill="accent3" w:themeFillTint="99"/>
                </w:tcPr>
                <w:p w14:paraId="52F0B243"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9%</w:t>
                  </w:r>
                </w:p>
              </w:tc>
              <w:tc>
                <w:tcPr>
                  <w:tcW w:w="976" w:type="dxa"/>
                  <w:shd w:val="clear" w:color="auto" w:fill="C2D69B" w:themeFill="accent3" w:themeFillTint="99"/>
                </w:tcPr>
                <w:p w14:paraId="76F39239" w14:textId="77777777" w:rsidR="00D262D6" w:rsidRPr="00F00E28" w:rsidRDefault="00D262D6" w:rsidP="00D262D6">
                  <w:pPr>
                    <w:rPr>
                      <w:rFonts w:asciiTheme="minorHAnsi" w:hAnsiTheme="minorHAnsi" w:cstheme="minorHAnsi"/>
                      <w:sz w:val="12"/>
                      <w:szCs w:val="12"/>
                      <w:highlight w:val="yellow"/>
                    </w:rPr>
                  </w:pPr>
                  <w:r w:rsidRPr="00F00E28">
                    <w:rPr>
                      <w:rFonts w:asciiTheme="minorHAnsi" w:hAnsiTheme="minorHAnsi" w:cstheme="minorHAnsi"/>
                      <w:sz w:val="12"/>
                      <w:szCs w:val="12"/>
                    </w:rPr>
                    <w:t>4.5%</w:t>
                  </w:r>
                </w:p>
              </w:tc>
              <w:tc>
                <w:tcPr>
                  <w:tcW w:w="840" w:type="dxa"/>
                  <w:shd w:val="clear" w:color="auto" w:fill="C2D69B" w:themeFill="accent3" w:themeFillTint="99"/>
                </w:tcPr>
                <w:p w14:paraId="793D856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12%</w:t>
                  </w:r>
                </w:p>
              </w:tc>
              <w:tc>
                <w:tcPr>
                  <w:tcW w:w="1089" w:type="dxa"/>
                  <w:shd w:val="clear" w:color="auto" w:fill="C2D69B" w:themeFill="accent3" w:themeFillTint="99"/>
                </w:tcPr>
                <w:p w14:paraId="48337B1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w:t>
                  </w:r>
                </w:p>
              </w:tc>
              <w:tc>
                <w:tcPr>
                  <w:tcW w:w="964" w:type="dxa"/>
                  <w:shd w:val="clear" w:color="auto" w:fill="C2D69B" w:themeFill="accent3" w:themeFillTint="99"/>
                </w:tcPr>
                <w:p w14:paraId="7A05DD8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10%</w:t>
                  </w:r>
                </w:p>
              </w:tc>
              <w:tc>
                <w:tcPr>
                  <w:tcW w:w="976" w:type="dxa"/>
                  <w:shd w:val="clear" w:color="auto" w:fill="C2D69B" w:themeFill="accent3" w:themeFillTint="99"/>
                </w:tcPr>
                <w:p w14:paraId="4E10320C"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5.5%</w:t>
                  </w:r>
                </w:p>
              </w:tc>
              <w:tc>
                <w:tcPr>
                  <w:tcW w:w="984" w:type="dxa"/>
                  <w:shd w:val="clear" w:color="auto" w:fill="C2D69B" w:themeFill="accent3" w:themeFillTint="99"/>
                </w:tcPr>
                <w:p w14:paraId="5E5CE494"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625" w:type="dxa"/>
                  <w:shd w:val="clear" w:color="auto" w:fill="C2D69B" w:themeFill="accent3" w:themeFillTint="99"/>
                </w:tcPr>
                <w:p w14:paraId="2CB9E30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w:t>
                  </w:r>
                </w:p>
              </w:tc>
              <w:tc>
                <w:tcPr>
                  <w:tcW w:w="702" w:type="dxa"/>
                  <w:shd w:val="clear" w:color="auto" w:fill="C2D69B" w:themeFill="accent3" w:themeFillTint="99"/>
                </w:tcPr>
                <w:p w14:paraId="72472E2D"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818" w:type="dxa"/>
                  <w:shd w:val="clear" w:color="auto" w:fill="C2D69B" w:themeFill="accent3" w:themeFillTint="99"/>
                </w:tcPr>
                <w:p w14:paraId="2FC35BC0"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9%</w:t>
                  </w:r>
                </w:p>
              </w:tc>
              <w:tc>
                <w:tcPr>
                  <w:tcW w:w="828" w:type="dxa"/>
                  <w:shd w:val="clear" w:color="auto" w:fill="B6DDE8" w:themeFill="accent5" w:themeFillTint="66"/>
                </w:tcPr>
                <w:p w14:paraId="74A3A1B3"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745" w:type="dxa"/>
                  <w:shd w:val="clear" w:color="auto" w:fill="B6DDE8" w:themeFill="accent5" w:themeFillTint="66"/>
                </w:tcPr>
                <w:p w14:paraId="447F3EC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r>
            <w:tr w:rsidR="00491CB5" w:rsidRPr="00491CB5" w14:paraId="720835E0" w14:textId="77777777" w:rsidTr="00F00E28">
              <w:tc>
                <w:tcPr>
                  <w:tcW w:w="1545" w:type="dxa"/>
                  <w:shd w:val="clear" w:color="auto" w:fill="C2D69B" w:themeFill="accent3" w:themeFillTint="99"/>
                </w:tcPr>
                <w:p w14:paraId="40FA796A" w14:textId="77777777" w:rsidR="00D262D6" w:rsidRPr="00F00E28" w:rsidRDefault="00D262D6" w:rsidP="00D262D6">
                  <w:pPr>
                    <w:rPr>
                      <w:rFonts w:asciiTheme="minorHAnsi" w:hAnsiTheme="minorHAnsi" w:cstheme="minorHAnsi"/>
                      <w:sz w:val="12"/>
                      <w:szCs w:val="12"/>
                    </w:rPr>
                  </w:pPr>
                  <w:proofErr w:type="gramStart"/>
                  <w:r w:rsidRPr="00F00E28">
                    <w:rPr>
                      <w:rFonts w:asciiTheme="minorHAnsi" w:hAnsiTheme="minorHAnsi" w:cstheme="minorHAnsi"/>
                      <w:sz w:val="12"/>
                      <w:szCs w:val="12"/>
                    </w:rPr>
                    <w:t>Maths  GDS</w:t>
                  </w:r>
                  <w:proofErr w:type="gramEnd"/>
                </w:p>
              </w:tc>
              <w:tc>
                <w:tcPr>
                  <w:tcW w:w="1043" w:type="dxa"/>
                  <w:shd w:val="clear" w:color="auto" w:fill="C2D69B" w:themeFill="accent3" w:themeFillTint="99"/>
                </w:tcPr>
                <w:p w14:paraId="6410B94A"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19% (16%) </w:t>
                  </w:r>
                </w:p>
              </w:tc>
              <w:tc>
                <w:tcPr>
                  <w:tcW w:w="849" w:type="dxa"/>
                  <w:shd w:val="clear" w:color="auto" w:fill="C2D69B" w:themeFill="accent3" w:themeFillTint="99"/>
                </w:tcPr>
                <w:p w14:paraId="70A1274B"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21%</w:t>
                  </w:r>
                </w:p>
              </w:tc>
              <w:tc>
                <w:tcPr>
                  <w:tcW w:w="964" w:type="dxa"/>
                  <w:shd w:val="clear" w:color="auto" w:fill="C2D69B" w:themeFill="accent3" w:themeFillTint="99"/>
                </w:tcPr>
                <w:p w14:paraId="716D5929"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25%</w:t>
                  </w:r>
                </w:p>
              </w:tc>
              <w:tc>
                <w:tcPr>
                  <w:tcW w:w="976" w:type="dxa"/>
                  <w:shd w:val="clear" w:color="auto" w:fill="C2D69B" w:themeFill="accent3" w:themeFillTint="99"/>
                </w:tcPr>
                <w:p w14:paraId="0B026FE9"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18%</w:t>
                  </w:r>
                </w:p>
              </w:tc>
              <w:tc>
                <w:tcPr>
                  <w:tcW w:w="840" w:type="dxa"/>
                  <w:shd w:val="clear" w:color="auto" w:fill="C2D69B" w:themeFill="accent3" w:themeFillTint="99"/>
                </w:tcPr>
                <w:p w14:paraId="778BF46A"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33%</w:t>
                  </w:r>
                </w:p>
              </w:tc>
              <w:tc>
                <w:tcPr>
                  <w:tcW w:w="1089" w:type="dxa"/>
                  <w:shd w:val="clear" w:color="auto" w:fill="C2D69B" w:themeFill="accent3" w:themeFillTint="99"/>
                </w:tcPr>
                <w:p w14:paraId="4F2C7E3E"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24%</w:t>
                  </w:r>
                </w:p>
              </w:tc>
              <w:tc>
                <w:tcPr>
                  <w:tcW w:w="964" w:type="dxa"/>
                  <w:shd w:val="clear" w:color="auto" w:fill="C2D69B" w:themeFill="accent3" w:themeFillTint="99"/>
                </w:tcPr>
                <w:p w14:paraId="78F3F48D"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28.5%</w:t>
                  </w:r>
                </w:p>
              </w:tc>
              <w:tc>
                <w:tcPr>
                  <w:tcW w:w="976" w:type="dxa"/>
                  <w:shd w:val="clear" w:color="auto" w:fill="C2D69B" w:themeFill="accent3" w:themeFillTint="99"/>
                </w:tcPr>
                <w:p w14:paraId="41F9B1DE"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22%</w:t>
                  </w:r>
                </w:p>
              </w:tc>
              <w:tc>
                <w:tcPr>
                  <w:tcW w:w="984" w:type="dxa"/>
                  <w:shd w:val="clear" w:color="auto" w:fill="C2D69B" w:themeFill="accent3" w:themeFillTint="99"/>
                </w:tcPr>
                <w:p w14:paraId="23297A2D"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625" w:type="dxa"/>
                  <w:shd w:val="clear" w:color="auto" w:fill="C2D69B" w:themeFill="accent3" w:themeFillTint="99"/>
                </w:tcPr>
                <w:p w14:paraId="0940D2BD"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25%</w:t>
                  </w:r>
                </w:p>
              </w:tc>
              <w:tc>
                <w:tcPr>
                  <w:tcW w:w="702" w:type="dxa"/>
                  <w:shd w:val="clear" w:color="auto" w:fill="C2D69B" w:themeFill="accent3" w:themeFillTint="99"/>
                </w:tcPr>
                <w:p w14:paraId="16E14D97"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818" w:type="dxa"/>
                  <w:shd w:val="clear" w:color="auto" w:fill="C2D69B" w:themeFill="accent3" w:themeFillTint="99"/>
                </w:tcPr>
                <w:p w14:paraId="5C6A64C8"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36%</w:t>
                  </w:r>
                </w:p>
              </w:tc>
              <w:tc>
                <w:tcPr>
                  <w:tcW w:w="828" w:type="dxa"/>
                  <w:shd w:val="clear" w:color="auto" w:fill="B6DDE8" w:themeFill="accent5" w:themeFillTint="66"/>
                </w:tcPr>
                <w:p w14:paraId="78A93F12"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745" w:type="dxa"/>
                  <w:shd w:val="clear" w:color="auto" w:fill="B6DDE8" w:themeFill="accent5" w:themeFillTint="66"/>
                </w:tcPr>
                <w:p w14:paraId="0FE57D6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r>
            <w:tr w:rsidR="00491CB5" w:rsidRPr="00491CB5" w14:paraId="220B5C9A" w14:textId="77777777" w:rsidTr="00F00E28">
              <w:tc>
                <w:tcPr>
                  <w:tcW w:w="1545" w:type="dxa"/>
                  <w:shd w:val="clear" w:color="auto" w:fill="C2D69B" w:themeFill="accent3" w:themeFillTint="99"/>
                </w:tcPr>
                <w:p w14:paraId="4007B654"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Combined GDS </w:t>
                  </w:r>
                </w:p>
              </w:tc>
              <w:tc>
                <w:tcPr>
                  <w:tcW w:w="1043" w:type="dxa"/>
                  <w:shd w:val="clear" w:color="auto" w:fill="C2D69B" w:themeFill="accent3" w:themeFillTint="99"/>
                </w:tcPr>
                <w:p w14:paraId="02EA9A59"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 xml:space="preserve">6% </w:t>
                  </w:r>
                </w:p>
              </w:tc>
              <w:tc>
                <w:tcPr>
                  <w:tcW w:w="849" w:type="dxa"/>
                  <w:shd w:val="clear" w:color="auto" w:fill="C2D69B" w:themeFill="accent3" w:themeFillTint="99"/>
                </w:tcPr>
                <w:p w14:paraId="7D2FF609"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9.5%</w:t>
                  </w:r>
                </w:p>
              </w:tc>
              <w:tc>
                <w:tcPr>
                  <w:tcW w:w="964" w:type="dxa"/>
                  <w:shd w:val="clear" w:color="auto" w:fill="C2D69B" w:themeFill="accent3" w:themeFillTint="99"/>
                </w:tcPr>
                <w:p w14:paraId="33FEAFD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9%</w:t>
                  </w:r>
                </w:p>
              </w:tc>
              <w:tc>
                <w:tcPr>
                  <w:tcW w:w="976" w:type="dxa"/>
                  <w:shd w:val="clear" w:color="auto" w:fill="C2D69B" w:themeFill="accent3" w:themeFillTint="99"/>
                </w:tcPr>
                <w:p w14:paraId="4CAC52D3"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4.5%</w:t>
                  </w:r>
                </w:p>
              </w:tc>
              <w:tc>
                <w:tcPr>
                  <w:tcW w:w="840" w:type="dxa"/>
                  <w:shd w:val="clear" w:color="auto" w:fill="C2D69B" w:themeFill="accent3" w:themeFillTint="99"/>
                </w:tcPr>
                <w:p w14:paraId="09F23755"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12%</w:t>
                  </w:r>
                </w:p>
              </w:tc>
              <w:tc>
                <w:tcPr>
                  <w:tcW w:w="1089" w:type="dxa"/>
                  <w:shd w:val="clear" w:color="auto" w:fill="C2D69B" w:themeFill="accent3" w:themeFillTint="99"/>
                </w:tcPr>
                <w:p w14:paraId="2C4160B7"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7%</w:t>
                  </w:r>
                </w:p>
              </w:tc>
              <w:tc>
                <w:tcPr>
                  <w:tcW w:w="964" w:type="dxa"/>
                  <w:shd w:val="clear" w:color="auto" w:fill="C2D69B" w:themeFill="accent3" w:themeFillTint="99"/>
                </w:tcPr>
                <w:p w14:paraId="63282618" w14:textId="77777777" w:rsidR="00D262D6" w:rsidRPr="00F00E28" w:rsidRDefault="00D262D6" w:rsidP="00D262D6">
                  <w:pPr>
                    <w:rPr>
                      <w:rFonts w:asciiTheme="minorHAnsi" w:hAnsiTheme="minorHAnsi" w:cstheme="minorHAnsi"/>
                      <w:sz w:val="12"/>
                      <w:szCs w:val="12"/>
                      <w:highlight w:val="yellow"/>
                    </w:rPr>
                  </w:pPr>
                  <w:r w:rsidRPr="00F00E28">
                    <w:rPr>
                      <w:rFonts w:asciiTheme="minorHAnsi" w:hAnsiTheme="minorHAnsi" w:cstheme="minorHAnsi"/>
                      <w:sz w:val="12"/>
                      <w:szCs w:val="12"/>
                    </w:rPr>
                    <w:t>10%</w:t>
                  </w:r>
                </w:p>
              </w:tc>
              <w:tc>
                <w:tcPr>
                  <w:tcW w:w="976" w:type="dxa"/>
                  <w:shd w:val="clear" w:color="auto" w:fill="C2D69B" w:themeFill="accent3" w:themeFillTint="99"/>
                </w:tcPr>
                <w:p w14:paraId="164A49DA"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11%</w:t>
                  </w:r>
                </w:p>
              </w:tc>
              <w:tc>
                <w:tcPr>
                  <w:tcW w:w="984" w:type="dxa"/>
                  <w:shd w:val="clear" w:color="auto" w:fill="C2D69B" w:themeFill="accent3" w:themeFillTint="99"/>
                </w:tcPr>
                <w:p w14:paraId="3AFFEF96"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625" w:type="dxa"/>
                  <w:shd w:val="clear" w:color="auto" w:fill="C2D69B" w:themeFill="accent3" w:themeFillTint="99"/>
                </w:tcPr>
                <w:p w14:paraId="07971A99"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6%</w:t>
                  </w:r>
                </w:p>
              </w:tc>
              <w:tc>
                <w:tcPr>
                  <w:tcW w:w="702" w:type="dxa"/>
                  <w:shd w:val="clear" w:color="auto" w:fill="C2D69B" w:themeFill="accent3" w:themeFillTint="99"/>
                </w:tcPr>
                <w:p w14:paraId="4AE40F89"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818" w:type="dxa"/>
                  <w:shd w:val="clear" w:color="auto" w:fill="C2D69B" w:themeFill="accent3" w:themeFillTint="99"/>
                </w:tcPr>
                <w:p w14:paraId="2A34DE33"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9%</w:t>
                  </w:r>
                </w:p>
              </w:tc>
              <w:tc>
                <w:tcPr>
                  <w:tcW w:w="828" w:type="dxa"/>
                  <w:shd w:val="clear" w:color="auto" w:fill="B6DDE8" w:themeFill="accent5" w:themeFillTint="66"/>
                </w:tcPr>
                <w:p w14:paraId="493D25CA"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c>
                <w:tcPr>
                  <w:tcW w:w="745" w:type="dxa"/>
                  <w:shd w:val="clear" w:color="auto" w:fill="B6DDE8" w:themeFill="accent5" w:themeFillTint="66"/>
                </w:tcPr>
                <w:p w14:paraId="49DF995D" w14:textId="77777777" w:rsidR="00D262D6" w:rsidRPr="00F00E28" w:rsidRDefault="00D262D6" w:rsidP="00D262D6">
                  <w:pPr>
                    <w:rPr>
                      <w:rFonts w:asciiTheme="minorHAnsi" w:hAnsiTheme="minorHAnsi" w:cstheme="minorHAnsi"/>
                      <w:sz w:val="12"/>
                      <w:szCs w:val="12"/>
                    </w:rPr>
                  </w:pPr>
                  <w:r w:rsidRPr="00F00E28">
                    <w:rPr>
                      <w:rFonts w:asciiTheme="minorHAnsi" w:hAnsiTheme="minorHAnsi" w:cstheme="minorHAnsi"/>
                      <w:sz w:val="12"/>
                      <w:szCs w:val="12"/>
                    </w:rPr>
                    <w:t>0%</w:t>
                  </w:r>
                </w:p>
              </w:tc>
            </w:tr>
          </w:tbl>
          <w:p w14:paraId="285D157E" w14:textId="71DFA72A" w:rsidR="00F00E28" w:rsidRPr="006E72BB" w:rsidRDefault="006E72BB" w:rsidP="00491CB5">
            <w:pPr>
              <w:suppressAutoHyphens w:val="0"/>
              <w:autoSpaceDN/>
              <w:spacing w:after="160" w:line="259" w:lineRule="auto"/>
              <w:rPr>
                <w:rFonts w:ascii="Calibri" w:eastAsia="Calibri" w:hAnsi="Calibri"/>
                <w:color w:val="auto"/>
                <w:sz w:val="16"/>
                <w:szCs w:val="16"/>
                <w:lang w:eastAsia="en-US"/>
              </w:rPr>
            </w:pPr>
            <w:r w:rsidRPr="006E72BB">
              <w:rPr>
                <w:rFonts w:ascii="Calibri" w:eastAsia="Calibri" w:hAnsi="Calibri"/>
                <w:color w:val="auto"/>
                <w:sz w:val="16"/>
                <w:szCs w:val="16"/>
                <w:lang w:eastAsia="en-US"/>
              </w:rPr>
              <w:t xml:space="preserve">This data demonstrates that we are above the national figure for writing but below for reading and maths. Three of the children arrived during the year and did not meet the expected standard for reading, writing or maths. </w:t>
            </w:r>
          </w:p>
          <w:p w14:paraId="257C0227" w14:textId="45535127" w:rsidR="00491CB5" w:rsidRPr="00491CB5" w:rsidRDefault="00491CB5" w:rsidP="00491CB5">
            <w:pPr>
              <w:suppressAutoHyphens w:val="0"/>
              <w:autoSpaceDN/>
              <w:spacing w:after="160" w:line="259" w:lineRule="auto"/>
              <w:rPr>
                <w:rFonts w:ascii="Calibri" w:eastAsia="Calibri" w:hAnsi="Calibri"/>
                <w:i/>
                <w:color w:val="auto"/>
                <w:sz w:val="16"/>
                <w:szCs w:val="16"/>
                <w:lang w:eastAsia="en-US"/>
              </w:rPr>
            </w:pPr>
            <w:r w:rsidRPr="00491CB5">
              <w:rPr>
                <w:rFonts w:ascii="Calibri" w:eastAsia="Calibri" w:hAnsi="Calibri"/>
                <w:i/>
                <w:color w:val="auto"/>
                <w:sz w:val="16"/>
                <w:szCs w:val="16"/>
                <w:lang w:eastAsia="en-US"/>
              </w:rPr>
              <w:t xml:space="preserve">Phonics analysis 2024 </w:t>
            </w:r>
          </w:p>
          <w:p w14:paraId="216B614B" w14:textId="77777777" w:rsidR="00491CB5" w:rsidRPr="00491CB5" w:rsidRDefault="00491CB5" w:rsidP="00491CB5">
            <w:pPr>
              <w:suppressAutoHyphens w:val="0"/>
              <w:autoSpaceDN/>
              <w:spacing w:after="160" w:line="259" w:lineRule="auto"/>
              <w:rPr>
                <w:rFonts w:ascii="Calibri" w:eastAsia="Calibri" w:hAnsi="Calibri"/>
                <w:color w:val="auto"/>
                <w:sz w:val="16"/>
                <w:szCs w:val="16"/>
                <w:lang w:eastAsia="en-US"/>
              </w:rPr>
            </w:pPr>
            <w:r w:rsidRPr="00491CB5">
              <w:rPr>
                <w:rFonts w:ascii="Calibri" w:eastAsia="Calibri" w:hAnsi="Calibri"/>
                <w:color w:val="auto"/>
                <w:sz w:val="16"/>
                <w:szCs w:val="16"/>
                <w:lang w:eastAsia="en-US"/>
              </w:rPr>
              <w:t xml:space="preserve">Year 1 </w:t>
            </w:r>
          </w:p>
          <w:tbl>
            <w:tblPr>
              <w:tblStyle w:val="TableGrid"/>
              <w:tblW w:w="0" w:type="auto"/>
              <w:tblLook w:val="04A0" w:firstRow="1" w:lastRow="0" w:firstColumn="1" w:lastColumn="0" w:noHBand="0" w:noVBand="1"/>
            </w:tblPr>
            <w:tblGrid>
              <w:gridCol w:w="1008"/>
              <w:gridCol w:w="963"/>
              <w:gridCol w:w="957"/>
              <w:gridCol w:w="1061"/>
              <w:gridCol w:w="1074"/>
              <w:gridCol w:w="781"/>
              <w:gridCol w:w="921"/>
              <w:gridCol w:w="946"/>
              <w:gridCol w:w="903"/>
              <w:gridCol w:w="926"/>
              <w:gridCol w:w="917"/>
              <w:gridCol w:w="762"/>
            </w:tblGrid>
            <w:tr w:rsidR="00491CB5" w:rsidRPr="00491CB5" w14:paraId="0ABABE1E" w14:textId="77777777" w:rsidTr="00F00E28">
              <w:tc>
                <w:tcPr>
                  <w:tcW w:w="1259" w:type="dxa"/>
                </w:tcPr>
                <w:p w14:paraId="2F804CE5"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Group</w:t>
                  </w:r>
                </w:p>
              </w:tc>
              <w:tc>
                <w:tcPr>
                  <w:tcW w:w="1231" w:type="dxa"/>
                </w:tcPr>
                <w:p w14:paraId="6812AE14"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All children</w:t>
                  </w:r>
                </w:p>
              </w:tc>
              <w:tc>
                <w:tcPr>
                  <w:tcW w:w="1202" w:type="dxa"/>
                </w:tcPr>
                <w:p w14:paraId="2FAD1AA5"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All children without 2 children with complex SEND </w:t>
                  </w:r>
                </w:p>
              </w:tc>
              <w:tc>
                <w:tcPr>
                  <w:tcW w:w="1369" w:type="dxa"/>
                </w:tcPr>
                <w:p w14:paraId="1EE3FC91"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Children who have been here since Reception </w:t>
                  </w:r>
                </w:p>
              </w:tc>
              <w:tc>
                <w:tcPr>
                  <w:tcW w:w="1351" w:type="dxa"/>
                </w:tcPr>
                <w:p w14:paraId="2B5D0B3D"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Children who have been here since Reception – arrived before </w:t>
                  </w:r>
                  <w:proofErr w:type="gramStart"/>
                  <w:r w:rsidRPr="00491CB5">
                    <w:rPr>
                      <w:rFonts w:ascii="Calibri" w:eastAsia="Calibri" w:hAnsi="Calibri"/>
                      <w:color w:val="auto"/>
                      <w:sz w:val="12"/>
                      <w:szCs w:val="12"/>
                      <w:lang w:eastAsia="en-US"/>
                    </w:rPr>
                    <w:t>Christmas  of</w:t>
                  </w:r>
                  <w:proofErr w:type="gramEnd"/>
                  <w:r w:rsidRPr="00491CB5">
                    <w:rPr>
                      <w:rFonts w:ascii="Calibri" w:eastAsia="Calibri" w:hAnsi="Calibri"/>
                      <w:color w:val="auto"/>
                      <w:sz w:val="12"/>
                      <w:szCs w:val="12"/>
                      <w:lang w:eastAsia="en-US"/>
                    </w:rPr>
                    <w:t xml:space="preserve"> Reception </w:t>
                  </w:r>
                </w:p>
              </w:tc>
              <w:tc>
                <w:tcPr>
                  <w:tcW w:w="953" w:type="dxa"/>
                </w:tcPr>
                <w:p w14:paraId="2B84DE5B"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All send </w:t>
                  </w:r>
                </w:p>
              </w:tc>
              <w:tc>
                <w:tcPr>
                  <w:tcW w:w="1117" w:type="dxa"/>
                </w:tcPr>
                <w:p w14:paraId="23530F91"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EHCPS </w:t>
                  </w:r>
                </w:p>
                <w:p w14:paraId="44890498"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(1 child who joined the S&amp;L resource in Feb 23) </w:t>
                  </w:r>
                </w:p>
              </w:tc>
              <w:tc>
                <w:tcPr>
                  <w:tcW w:w="1185" w:type="dxa"/>
                </w:tcPr>
                <w:p w14:paraId="578209AB"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SEND support</w:t>
                  </w:r>
                </w:p>
              </w:tc>
              <w:tc>
                <w:tcPr>
                  <w:tcW w:w="1111" w:type="dxa"/>
                  <w:shd w:val="clear" w:color="auto" w:fill="B6DDE8" w:themeFill="accent5" w:themeFillTint="66"/>
                </w:tcPr>
                <w:p w14:paraId="32B9C5C8"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Pupil premium </w:t>
                  </w:r>
                </w:p>
              </w:tc>
              <w:tc>
                <w:tcPr>
                  <w:tcW w:w="1146" w:type="dxa"/>
                  <w:shd w:val="clear" w:color="auto" w:fill="B6DDE8" w:themeFill="accent5" w:themeFillTint="66"/>
                </w:tcPr>
                <w:p w14:paraId="1BE54946"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Pupil premium since Reception </w:t>
                  </w:r>
                </w:p>
              </w:tc>
              <w:tc>
                <w:tcPr>
                  <w:tcW w:w="1146" w:type="dxa"/>
                </w:tcPr>
                <w:p w14:paraId="4638BE13"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Black African </w:t>
                  </w:r>
                </w:p>
              </w:tc>
              <w:tc>
                <w:tcPr>
                  <w:tcW w:w="878" w:type="dxa"/>
                </w:tcPr>
                <w:p w14:paraId="09E0A8DC"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Black African arrived before Christmas of year 1  </w:t>
                  </w:r>
                </w:p>
              </w:tc>
            </w:tr>
            <w:tr w:rsidR="00491CB5" w:rsidRPr="00491CB5" w14:paraId="0C5F3A77" w14:textId="77777777" w:rsidTr="00F00E28">
              <w:tc>
                <w:tcPr>
                  <w:tcW w:w="1259" w:type="dxa"/>
                </w:tcPr>
                <w:p w14:paraId="391C2F3C"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EP Collier </w:t>
                  </w:r>
                </w:p>
              </w:tc>
              <w:tc>
                <w:tcPr>
                  <w:tcW w:w="1231" w:type="dxa"/>
                </w:tcPr>
                <w:p w14:paraId="094CDC54"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69% </w:t>
                  </w:r>
                </w:p>
              </w:tc>
              <w:tc>
                <w:tcPr>
                  <w:tcW w:w="1202" w:type="dxa"/>
                </w:tcPr>
                <w:p w14:paraId="64AD3996"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71%</w:t>
                  </w:r>
                </w:p>
              </w:tc>
              <w:tc>
                <w:tcPr>
                  <w:tcW w:w="1369" w:type="dxa"/>
                </w:tcPr>
                <w:p w14:paraId="64871CBC"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82%</w:t>
                  </w:r>
                </w:p>
              </w:tc>
              <w:tc>
                <w:tcPr>
                  <w:tcW w:w="1351" w:type="dxa"/>
                </w:tcPr>
                <w:p w14:paraId="2E66520F"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90% </w:t>
                  </w:r>
                </w:p>
              </w:tc>
              <w:tc>
                <w:tcPr>
                  <w:tcW w:w="953" w:type="dxa"/>
                </w:tcPr>
                <w:p w14:paraId="2666C34C"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43%</w:t>
                  </w:r>
                </w:p>
              </w:tc>
              <w:tc>
                <w:tcPr>
                  <w:tcW w:w="1117" w:type="dxa"/>
                </w:tcPr>
                <w:p w14:paraId="4F5EF6C7"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0%</w:t>
                  </w:r>
                </w:p>
              </w:tc>
              <w:tc>
                <w:tcPr>
                  <w:tcW w:w="1185" w:type="dxa"/>
                </w:tcPr>
                <w:p w14:paraId="092E04AA"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50%</w:t>
                  </w:r>
                </w:p>
              </w:tc>
              <w:tc>
                <w:tcPr>
                  <w:tcW w:w="1111" w:type="dxa"/>
                  <w:shd w:val="clear" w:color="auto" w:fill="B6DDE8" w:themeFill="accent5" w:themeFillTint="66"/>
                </w:tcPr>
                <w:p w14:paraId="4575B577"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58%</w:t>
                  </w:r>
                </w:p>
              </w:tc>
              <w:tc>
                <w:tcPr>
                  <w:tcW w:w="1146" w:type="dxa"/>
                  <w:shd w:val="clear" w:color="auto" w:fill="B6DDE8" w:themeFill="accent5" w:themeFillTint="66"/>
                </w:tcPr>
                <w:p w14:paraId="4FBF698D"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71%</w:t>
                  </w:r>
                </w:p>
              </w:tc>
              <w:tc>
                <w:tcPr>
                  <w:tcW w:w="1146" w:type="dxa"/>
                </w:tcPr>
                <w:p w14:paraId="7D411F75"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67%</w:t>
                  </w:r>
                </w:p>
              </w:tc>
              <w:tc>
                <w:tcPr>
                  <w:tcW w:w="878" w:type="dxa"/>
                </w:tcPr>
                <w:p w14:paraId="4660D885"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80% </w:t>
                  </w:r>
                </w:p>
              </w:tc>
            </w:tr>
            <w:tr w:rsidR="00491CB5" w:rsidRPr="00491CB5" w14:paraId="38FCB383" w14:textId="77777777" w:rsidTr="00F00E28">
              <w:tc>
                <w:tcPr>
                  <w:tcW w:w="1259" w:type="dxa"/>
                </w:tcPr>
                <w:p w14:paraId="3C529A08"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EP Collier last year</w:t>
                  </w:r>
                </w:p>
              </w:tc>
              <w:tc>
                <w:tcPr>
                  <w:tcW w:w="1231" w:type="dxa"/>
                </w:tcPr>
                <w:p w14:paraId="47EC0497"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60% </w:t>
                  </w:r>
                </w:p>
              </w:tc>
              <w:tc>
                <w:tcPr>
                  <w:tcW w:w="1202" w:type="dxa"/>
                  <w:shd w:val="clear" w:color="auto" w:fill="A6A6A6"/>
                </w:tcPr>
                <w:p w14:paraId="4478ECF9"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369" w:type="dxa"/>
                  <w:shd w:val="clear" w:color="auto" w:fill="A6A6A6"/>
                </w:tcPr>
                <w:p w14:paraId="6E27D74F"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351" w:type="dxa"/>
                  <w:shd w:val="clear" w:color="auto" w:fill="A6A6A6"/>
                </w:tcPr>
                <w:p w14:paraId="097BDD26"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953" w:type="dxa"/>
                  <w:shd w:val="clear" w:color="auto" w:fill="A6A6A6"/>
                </w:tcPr>
                <w:p w14:paraId="6FDFC08F"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117" w:type="dxa"/>
                  <w:shd w:val="clear" w:color="auto" w:fill="A6A6A6"/>
                </w:tcPr>
                <w:p w14:paraId="75EB3245"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185" w:type="dxa"/>
                  <w:shd w:val="clear" w:color="auto" w:fill="A6A6A6"/>
                </w:tcPr>
                <w:p w14:paraId="5AF478E0"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111" w:type="dxa"/>
                  <w:shd w:val="clear" w:color="auto" w:fill="B6DDE8" w:themeFill="accent5" w:themeFillTint="66"/>
                </w:tcPr>
                <w:p w14:paraId="6FCE144C"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33% </w:t>
                  </w:r>
                </w:p>
              </w:tc>
              <w:tc>
                <w:tcPr>
                  <w:tcW w:w="1146" w:type="dxa"/>
                  <w:shd w:val="clear" w:color="auto" w:fill="B6DDE8" w:themeFill="accent5" w:themeFillTint="66"/>
                </w:tcPr>
                <w:p w14:paraId="4FED892A"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146" w:type="dxa"/>
                  <w:shd w:val="clear" w:color="auto" w:fill="A6A6A6"/>
                </w:tcPr>
                <w:p w14:paraId="66B3FD47"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878" w:type="dxa"/>
                  <w:shd w:val="clear" w:color="auto" w:fill="A6A6A6"/>
                </w:tcPr>
                <w:p w14:paraId="220871A6"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r>
            <w:tr w:rsidR="00491CB5" w:rsidRPr="00491CB5" w14:paraId="38C3E858" w14:textId="77777777" w:rsidTr="00F00E28">
              <w:tc>
                <w:tcPr>
                  <w:tcW w:w="1259" w:type="dxa"/>
                </w:tcPr>
                <w:p w14:paraId="517F89FF"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National last year </w:t>
                  </w:r>
                </w:p>
              </w:tc>
              <w:tc>
                <w:tcPr>
                  <w:tcW w:w="1231" w:type="dxa"/>
                </w:tcPr>
                <w:p w14:paraId="24DDDA93"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79%</w:t>
                  </w:r>
                </w:p>
              </w:tc>
              <w:tc>
                <w:tcPr>
                  <w:tcW w:w="1202" w:type="dxa"/>
                  <w:shd w:val="clear" w:color="auto" w:fill="A6A6A6"/>
                </w:tcPr>
                <w:p w14:paraId="6E16F232"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369" w:type="dxa"/>
                  <w:shd w:val="clear" w:color="auto" w:fill="A6A6A6"/>
                </w:tcPr>
                <w:p w14:paraId="01565C3B"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351" w:type="dxa"/>
                  <w:shd w:val="clear" w:color="auto" w:fill="A6A6A6"/>
                </w:tcPr>
                <w:p w14:paraId="691D04D8"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953" w:type="dxa"/>
                </w:tcPr>
                <w:p w14:paraId="194FC244"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42%</w:t>
                  </w:r>
                </w:p>
              </w:tc>
              <w:tc>
                <w:tcPr>
                  <w:tcW w:w="1117" w:type="dxa"/>
                </w:tcPr>
                <w:p w14:paraId="23DC69F2"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20% </w:t>
                  </w:r>
                </w:p>
              </w:tc>
              <w:tc>
                <w:tcPr>
                  <w:tcW w:w="1185" w:type="dxa"/>
                </w:tcPr>
                <w:p w14:paraId="59D92814"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48% </w:t>
                  </w:r>
                </w:p>
              </w:tc>
              <w:tc>
                <w:tcPr>
                  <w:tcW w:w="1111" w:type="dxa"/>
                  <w:shd w:val="clear" w:color="auto" w:fill="B6DDE8" w:themeFill="accent5" w:themeFillTint="66"/>
                </w:tcPr>
                <w:p w14:paraId="7AE365D2"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67%</w:t>
                  </w:r>
                </w:p>
              </w:tc>
              <w:tc>
                <w:tcPr>
                  <w:tcW w:w="1146" w:type="dxa"/>
                  <w:shd w:val="clear" w:color="auto" w:fill="B6DDE8" w:themeFill="accent5" w:themeFillTint="66"/>
                </w:tcPr>
                <w:p w14:paraId="00C63256"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146" w:type="dxa"/>
                  <w:shd w:val="clear" w:color="auto" w:fill="FFFFFF"/>
                </w:tcPr>
                <w:p w14:paraId="4E85C942"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79%</w:t>
                  </w:r>
                </w:p>
              </w:tc>
              <w:tc>
                <w:tcPr>
                  <w:tcW w:w="878" w:type="dxa"/>
                  <w:shd w:val="clear" w:color="auto" w:fill="FFFFFF"/>
                </w:tcPr>
                <w:p w14:paraId="7D86D5C5"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79%</w:t>
                  </w:r>
                </w:p>
              </w:tc>
            </w:tr>
          </w:tbl>
          <w:p w14:paraId="27953FBB" w14:textId="071A4C21" w:rsidR="00224125" w:rsidRDefault="00224125" w:rsidP="00491CB5">
            <w:pPr>
              <w:suppressAutoHyphens w:val="0"/>
              <w:autoSpaceDN/>
              <w:spacing w:after="160" w:line="259" w:lineRule="auto"/>
              <w:rPr>
                <w:rFonts w:ascii="Calibri" w:eastAsia="Calibri" w:hAnsi="Calibri"/>
                <w:color w:val="auto"/>
                <w:sz w:val="16"/>
                <w:szCs w:val="16"/>
                <w:lang w:eastAsia="en-US"/>
              </w:rPr>
            </w:pPr>
            <w:r>
              <w:rPr>
                <w:rFonts w:ascii="Calibri" w:eastAsia="Calibri" w:hAnsi="Calibri"/>
                <w:color w:val="auto"/>
                <w:sz w:val="16"/>
                <w:szCs w:val="16"/>
                <w:lang w:eastAsia="en-US"/>
              </w:rPr>
              <w:t xml:space="preserve">This data demonstrates that the longer the children are with us, the better they achieve. It also shows that the percentage of children with Pupil </w:t>
            </w:r>
            <w:r w:rsidR="006E72BB">
              <w:rPr>
                <w:rFonts w:ascii="Calibri" w:eastAsia="Calibri" w:hAnsi="Calibri"/>
                <w:color w:val="auto"/>
                <w:sz w:val="16"/>
                <w:szCs w:val="16"/>
                <w:lang w:eastAsia="en-US"/>
              </w:rPr>
              <w:t>Premium who passed the screening has increased when compared to last year’s data although it is still a lower figure than the national data. This is also the case for children who are not in receipt of Pupil Premium and therefore remains a whole school area for development.</w:t>
            </w:r>
          </w:p>
          <w:p w14:paraId="4D9E454F" w14:textId="77777777" w:rsidR="00224125" w:rsidRDefault="00224125" w:rsidP="00491CB5">
            <w:pPr>
              <w:suppressAutoHyphens w:val="0"/>
              <w:autoSpaceDN/>
              <w:spacing w:after="160" w:line="259" w:lineRule="auto"/>
              <w:rPr>
                <w:rFonts w:ascii="Calibri" w:eastAsia="Calibri" w:hAnsi="Calibri"/>
                <w:color w:val="auto"/>
                <w:sz w:val="16"/>
                <w:szCs w:val="16"/>
                <w:lang w:eastAsia="en-US"/>
              </w:rPr>
            </w:pPr>
          </w:p>
          <w:p w14:paraId="4AB58A95" w14:textId="23BABAD5" w:rsidR="00491CB5" w:rsidRPr="00491CB5" w:rsidRDefault="00491CB5" w:rsidP="00491CB5">
            <w:pPr>
              <w:suppressAutoHyphens w:val="0"/>
              <w:autoSpaceDN/>
              <w:spacing w:after="160" w:line="259" w:lineRule="auto"/>
              <w:rPr>
                <w:rFonts w:ascii="Calibri" w:eastAsia="Calibri" w:hAnsi="Calibri"/>
                <w:color w:val="auto"/>
                <w:sz w:val="16"/>
                <w:szCs w:val="16"/>
                <w:lang w:eastAsia="en-US"/>
              </w:rPr>
            </w:pPr>
            <w:r w:rsidRPr="00491CB5">
              <w:rPr>
                <w:rFonts w:ascii="Calibri" w:eastAsia="Calibri" w:hAnsi="Calibri"/>
                <w:color w:val="auto"/>
                <w:sz w:val="16"/>
                <w:szCs w:val="16"/>
                <w:lang w:eastAsia="en-US"/>
              </w:rPr>
              <w:t xml:space="preserve">Year 2  </w:t>
            </w:r>
          </w:p>
          <w:tbl>
            <w:tblPr>
              <w:tblStyle w:val="TableGrid"/>
              <w:tblW w:w="0" w:type="auto"/>
              <w:tblLook w:val="04A0" w:firstRow="1" w:lastRow="0" w:firstColumn="1" w:lastColumn="0" w:noHBand="0" w:noVBand="1"/>
            </w:tblPr>
            <w:tblGrid>
              <w:gridCol w:w="982"/>
              <w:gridCol w:w="949"/>
              <w:gridCol w:w="929"/>
              <w:gridCol w:w="852"/>
              <w:gridCol w:w="1292"/>
              <w:gridCol w:w="1106"/>
              <w:gridCol w:w="851"/>
              <w:gridCol w:w="907"/>
              <w:gridCol w:w="850"/>
              <w:gridCol w:w="865"/>
              <w:gridCol w:w="842"/>
              <w:gridCol w:w="794"/>
            </w:tblGrid>
            <w:tr w:rsidR="00F00E28" w:rsidRPr="00491CB5" w14:paraId="59D95552" w14:textId="77777777" w:rsidTr="00F00E28">
              <w:tc>
                <w:tcPr>
                  <w:tcW w:w="1300" w:type="dxa"/>
                </w:tcPr>
                <w:p w14:paraId="319242B5"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Group</w:t>
                  </w:r>
                </w:p>
              </w:tc>
              <w:tc>
                <w:tcPr>
                  <w:tcW w:w="1248" w:type="dxa"/>
                </w:tcPr>
                <w:p w14:paraId="5315E5A8"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All children</w:t>
                  </w:r>
                </w:p>
              </w:tc>
              <w:tc>
                <w:tcPr>
                  <w:tcW w:w="1204" w:type="dxa"/>
                </w:tcPr>
                <w:p w14:paraId="0A1837F3"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All children without 3 EHCPS</w:t>
                  </w:r>
                </w:p>
              </w:tc>
              <w:tc>
                <w:tcPr>
                  <w:tcW w:w="1074" w:type="dxa"/>
                </w:tcPr>
                <w:p w14:paraId="5E27178D"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Children who have been here </w:t>
                  </w:r>
                  <w:r w:rsidRPr="00491CB5">
                    <w:rPr>
                      <w:rFonts w:ascii="Calibri" w:eastAsia="Calibri" w:hAnsi="Calibri"/>
                      <w:color w:val="auto"/>
                      <w:sz w:val="12"/>
                      <w:szCs w:val="12"/>
                      <w:lang w:eastAsia="en-US"/>
                    </w:rPr>
                    <w:lastRenderedPageBreak/>
                    <w:t xml:space="preserve">since end of year 1 </w:t>
                  </w:r>
                </w:p>
                <w:p w14:paraId="1CBF77DB"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this includes 2 EHCPS who were disapplied) </w:t>
                  </w:r>
                </w:p>
              </w:tc>
              <w:tc>
                <w:tcPr>
                  <w:tcW w:w="1394" w:type="dxa"/>
                </w:tcPr>
                <w:p w14:paraId="7865DB28"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lastRenderedPageBreak/>
                    <w:t xml:space="preserve">Children who have been here since the end of year 1 without </w:t>
                  </w:r>
                  <w:r w:rsidRPr="00491CB5">
                    <w:rPr>
                      <w:rFonts w:ascii="Calibri" w:eastAsia="Calibri" w:hAnsi="Calibri"/>
                      <w:color w:val="auto"/>
                      <w:sz w:val="12"/>
                      <w:szCs w:val="12"/>
                      <w:lang w:eastAsia="en-US"/>
                    </w:rPr>
                    <w:lastRenderedPageBreak/>
                    <w:t xml:space="preserve">the two disapplied EHCPS </w:t>
                  </w:r>
                </w:p>
              </w:tc>
              <w:tc>
                <w:tcPr>
                  <w:tcW w:w="1177" w:type="dxa"/>
                </w:tcPr>
                <w:p w14:paraId="76957C1F"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lastRenderedPageBreak/>
                    <w:t xml:space="preserve">All send </w:t>
                  </w:r>
                </w:p>
              </w:tc>
              <w:tc>
                <w:tcPr>
                  <w:tcW w:w="1072" w:type="dxa"/>
                </w:tcPr>
                <w:p w14:paraId="5FC7B55C"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EHCPS</w:t>
                  </w:r>
                </w:p>
              </w:tc>
              <w:tc>
                <w:tcPr>
                  <w:tcW w:w="1200" w:type="dxa"/>
                </w:tcPr>
                <w:p w14:paraId="0B856D41"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SEND support</w:t>
                  </w:r>
                </w:p>
              </w:tc>
              <w:tc>
                <w:tcPr>
                  <w:tcW w:w="1093" w:type="dxa"/>
                  <w:shd w:val="clear" w:color="auto" w:fill="B6DDE8" w:themeFill="accent5" w:themeFillTint="66"/>
                </w:tcPr>
                <w:p w14:paraId="18BD207F"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Pupil premium </w:t>
                  </w:r>
                </w:p>
              </w:tc>
              <w:tc>
                <w:tcPr>
                  <w:tcW w:w="1118" w:type="dxa"/>
                  <w:shd w:val="clear" w:color="auto" w:fill="B6DDE8" w:themeFill="accent5" w:themeFillTint="66"/>
                </w:tcPr>
                <w:p w14:paraId="2A945F5C"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Pupil premium since Reception</w:t>
                  </w:r>
                </w:p>
                <w:p w14:paraId="191B213E"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 </w:t>
                  </w:r>
                </w:p>
              </w:tc>
              <w:tc>
                <w:tcPr>
                  <w:tcW w:w="1097" w:type="dxa"/>
                </w:tcPr>
                <w:p w14:paraId="40D712AD"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Black African</w:t>
                  </w:r>
                </w:p>
              </w:tc>
              <w:tc>
                <w:tcPr>
                  <w:tcW w:w="971" w:type="dxa"/>
                </w:tcPr>
                <w:p w14:paraId="15F457CF"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Black African arrived before </w:t>
                  </w:r>
                  <w:r w:rsidRPr="00491CB5">
                    <w:rPr>
                      <w:rFonts w:ascii="Calibri" w:eastAsia="Calibri" w:hAnsi="Calibri"/>
                      <w:color w:val="auto"/>
                      <w:sz w:val="12"/>
                      <w:szCs w:val="12"/>
                      <w:lang w:eastAsia="en-US"/>
                    </w:rPr>
                    <w:lastRenderedPageBreak/>
                    <w:t xml:space="preserve">Christmas of year 2   </w:t>
                  </w:r>
                </w:p>
              </w:tc>
            </w:tr>
            <w:tr w:rsidR="00F00E28" w:rsidRPr="00491CB5" w14:paraId="45280BBD" w14:textId="77777777" w:rsidTr="00F00E28">
              <w:tc>
                <w:tcPr>
                  <w:tcW w:w="1300" w:type="dxa"/>
                </w:tcPr>
                <w:p w14:paraId="01AB22AE"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lastRenderedPageBreak/>
                    <w:t xml:space="preserve">EP Collier </w:t>
                  </w:r>
                </w:p>
              </w:tc>
              <w:tc>
                <w:tcPr>
                  <w:tcW w:w="1248" w:type="dxa"/>
                </w:tcPr>
                <w:p w14:paraId="1D5E124E"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74.5%</w:t>
                  </w:r>
                </w:p>
              </w:tc>
              <w:tc>
                <w:tcPr>
                  <w:tcW w:w="1204" w:type="dxa"/>
                </w:tcPr>
                <w:p w14:paraId="3CF0EA71"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78.5%</w:t>
                  </w:r>
                </w:p>
              </w:tc>
              <w:tc>
                <w:tcPr>
                  <w:tcW w:w="1074" w:type="dxa"/>
                </w:tcPr>
                <w:p w14:paraId="015ED310"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88%</w:t>
                  </w:r>
                </w:p>
              </w:tc>
              <w:tc>
                <w:tcPr>
                  <w:tcW w:w="1394" w:type="dxa"/>
                </w:tcPr>
                <w:p w14:paraId="2DD3B068" w14:textId="77777777" w:rsidR="00491CB5" w:rsidRPr="00491CB5" w:rsidRDefault="00491CB5" w:rsidP="00491CB5">
                  <w:pPr>
                    <w:tabs>
                      <w:tab w:val="left" w:pos="630"/>
                    </w:tabs>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ab/>
                    <w:t xml:space="preserve">92.5% </w:t>
                  </w:r>
                </w:p>
              </w:tc>
              <w:tc>
                <w:tcPr>
                  <w:tcW w:w="1177" w:type="dxa"/>
                </w:tcPr>
                <w:p w14:paraId="2D2343F9" w14:textId="77777777" w:rsidR="00491CB5" w:rsidRPr="00491CB5" w:rsidRDefault="00491CB5" w:rsidP="00491CB5">
                  <w:pPr>
                    <w:tabs>
                      <w:tab w:val="left" w:pos="580"/>
                    </w:tabs>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ab/>
                    <w:t>63%</w:t>
                  </w:r>
                </w:p>
              </w:tc>
              <w:tc>
                <w:tcPr>
                  <w:tcW w:w="1072" w:type="dxa"/>
                </w:tcPr>
                <w:p w14:paraId="3CF383A8"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40%</w:t>
                  </w:r>
                </w:p>
              </w:tc>
              <w:tc>
                <w:tcPr>
                  <w:tcW w:w="1200" w:type="dxa"/>
                </w:tcPr>
                <w:p w14:paraId="650E9E35"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73%</w:t>
                  </w:r>
                </w:p>
              </w:tc>
              <w:tc>
                <w:tcPr>
                  <w:tcW w:w="1093" w:type="dxa"/>
                  <w:shd w:val="clear" w:color="auto" w:fill="B6DDE8" w:themeFill="accent5" w:themeFillTint="66"/>
                </w:tcPr>
                <w:p w14:paraId="7CD83510"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71%</w:t>
                  </w:r>
                </w:p>
              </w:tc>
              <w:tc>
                <w:tcPr>
                  <w:tcW w:w="1118" w:type="dxa"/>
                  <w:shd w:val="clear" w:color="auto" w:fill="B6DDE8" w:themeFill="accent5" w:themeFillTint="66"/>
                </w:tcPr>
                <w:p w14:paraId="0D78908A"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75%</w:t>
                  </w:r>
                </w:p>
              </w:tc>
              <w:tc>
                <w:tcPr>
                  <w:tcW w:w="1097" w:type="dxa"/>
                </w:tcPr>
                <w:p w14:paraId="654DBCFF"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67%</w:t>
                  </w:r>
                </w:p>
              </w:tc>
              <w:tc>
                <w:tcPr>
                  <w:tcW w:w="971" w:type="dxa"/>
                </w:tcPr>
                <w:p w14:paraId="72586BAF"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100%</w:t>
                  </w:r>
                </w:p>
              </w:tc>
            </w:tr>
            <w:tr w:rsidR="00491CB5" w:rsidRPr="00491CB5" w14:paraId="7C246BC7" w14:textId="77777777" w:rsidTr="00F00E28">
              <w:tc>
                <w:tcPr>
                  <w:tcW w:w="1300" w:type="dxa"/>
                </w:tcPr>
                <w:p w14:paraId="2C57328B"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EP Collier last year </w:t>
                  </w:r>
                </w:p>
              </w:tc>
              <w:tc>
                <w:tcPr>
                  <w:tcW w:w="1248" w:type="dxa"/>
                </w:tcPr>
                <w:p w14:paraId="283AD304"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74% </w:t>
                  </w:r>
                </w:p>
              </w:tc>
              <w:tc>
                <w:tcPr>
                  <w:tcW w:w="1204" w:type="dxa"/>
                  <w:shd w:val="clear" w:color="auto" w:fill="A6A6A6"/>
                </w:tcPr>
                <w:p w14:paraId="73BE1618"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074" w:type="dxa"/>
                  <w:shd w:val="clear" w:color="auto" w:fill="A6A6A6"/>
                </w:tcPr>
                <w:p w14:paraId="5E628829"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394" w:type="dxa"/>
                  <w:shd w:val="clear" w:color="auto" w:fill="A6A6A6"/>
                </w:tcPr>
                <w:p w14:paraId="050E670A"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177" w:type="dxa"/>
                  <w:shd w:val="clear" w:color="auto" w:fill="A6A6A6"/>
                </w:tcPr>
                <w:p w14:paraId="14938B74"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072" w:type="dxa"/>
                  <w:shd w:val="clear" w:color="auto" w:fill="A6A6A6"/>
                </w:tcPr>
                <w:p w14:paraId="7B59AA0B"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200" w:type="dxa"/>
                  <w:shd w:val="clear" w:color="auto" w:fill="A6A6A6"/>
                </w:tcPr>
                <w:p w14:paraId="39DD5E15"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093" w:type="dxa"/>
                  <w:shd w:val="clear" w:color="auto" w:fill="B6DDE8" w:themeFill="accent5" w:themeFillTint="66"/>
                </w:tcPr>
                <w:p w14:paraId="7C6F2FA8"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118" w:type="dxa"/>
                  <w:shd w:val="clear" w:color="auto" w:fill="B6DDE8" w:themeFill="accent5" w:themeFillTint="66"/>
                </w:tcPr>
                <w:p w14:paraId="50842CAD"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097" w:type="dxa"/>
                  <w:shd w:val="clear" w:color="auto" w:fill="A6A6A6"/>
                </w:tcPr>
                <w:p w14:paraId="79B2D15F"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971" w:type="dxa"/>
                  <w:shd w:val="clear" w:color="auto" w:fill="A6A6A6"/>
                </w:tcPr>
                <w:p w14:paraId="5C171243"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r>
            <w:tr w:rsidR="00491CB5" w:rsidRPr="00491CB5" w14:paraId="607EB61A" w14:textId="77777777" w:rsidTr="00491CB5">
              <w:tc>
                <w:tcPr>
                  <w:tcW w:w="1300" w:type="dxa"/>
                </w:tcPr>
                <w:p w14:paraId="1C47B086"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 xml:space="preserve">National last year </w:t>
                  </w:r>
                </w:p>
              </w:tc>
              <w:tc>
                <w:tcPr>
                  <w:tcW w:w="1248" w:type="dxa"/>
                </w:tcPr>
                <w:p w14:paraId="054BC8A5"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r w:rsidRPr="00491CB5">
                    <w:rPr>
                      <w:rFonts w:ascii="Calibri" w:eastAsia="Calibri" w:hAnsi="Calibri"/>
                      <w:color w:val="auto"/>
                      <w:sz w:val="12"/>
                      <w:szCs w:val="12"/>
                      <w:lang w:eastAsia="en-US"/>
                    </w:rPr>
                    <w:t>89%</w:t>
                  </w:r>
                </w:p>
                <w:p w14:paraId="475D0BC0"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204" w:type="dxa"/>
                  <w:shd w:val="clear" w:color="auto" w:fill="A6A6A6"/>
                </w:tcPr>
                <w:p w14:paraId="5798AC3A"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074" w:type="dxa"/>
                  <w:shd w:val="clear" w:color="auto" w:fill="A6A6A6"/>
                </w:tcPr>
                <w:p w14:paraId="171400FE"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394" w:type="dxa"/>
                  <w:shd w:val="clear" w:color="auto" w:fill="A6A6A6"/>
                </w:tcPr>
                <w:p w14:paraId="7576D488"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177" w:type="dxa"/>
                  <w:shd w:val="clear" w:color="auto" w:fill="A6A6A6"/>
                </w:tcPr>
                <w:p w14:paraId="6AC45173"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072" w:type="dxa"/>
                  <w:shd w:val="clear" w:color="auto" w:fill="A6A6A6"/>
                </w:tcPr>
                <w:p w14:paraId="0875A649"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200" w:type="dxa"/>
                  <w:shd w:val="clear" w:color="auto" w:fill="A6A6A6"/>
                </w:tcPr>
                <w:p w14:paraId="2478FB97"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093" w:type="dxa"/>
                  <w:shd w:val="clear" w:color="auto" w:fill="A6A6A6"/>
                </w:tcPr>
                <w:p w14:paraId="505884C1"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118" w:type="dxa"/>
                  <w:shd w:val="clear" w:color="auto" w:fill="A6A6A6"/>
                </w:tcPr>
                <w:p w14:paraId="6EE9C317"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1097" w:type="dxa"/>
                  <w:shd w:val="clear" w:color="auto" w:fill="A6A6A6"/>
                </w:tcPr>
                <w:p w14:paraId="18EE478A"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c>
                <w:tcPr>
                  <w:tcW w:w="971" w:type="dxa"/>
                  <w:shd w:val="clear" w:color="auto" w:fill="A6A6A6"/>
                </w:tcPr>
                <w:p w14:paraId="083B281E" w14:textId="77777777" w:rsidR="00491CB5" w:rsidRPr="00491CB5" w:rsidRDefault="00491CB5" w:rsidP="00491CB5">
                  <w:pPr>
                    <w:suppressAutoHyphens w:val="0"/>
                    <w:autoSpaceDN/>
                    <w:spacing w:after="0" w:line="240" w:lineRule="auto"/>
                    <w:rPr>
                      <w:rFonts w:ascii="Calibri" w:eastAsia="Calibri" w:hAnsi="Calibri"/>
                      <w:color w:val="auto"/>
                      <w:sz w:val="12"/>
                      <w:szCs w:val="12"/>
                      <w:lang w:eastAsia="en-US"/>
                    </w:rPr>
                  </w:pPr>
                </w:p>
              </w:tc>
            </w:tr>
          </w:tbl>
          <w:p w14:paraId="78A5FC1B" w14:textId="2B1E48AD" w:rsidR="00F00E28" w:rsidRDefault="006E72BB" w:rsidP="00491CB5">
            <w:pPr>
              <w:suppressAutoHyphens w:val="0"/>
              <w:autoSpaceDN/>
              <w:spacing w:after="160" w:line="259" w:lineRule="auto"/>
              <w:rPr>
                <w:rFonts w:ascii="Calibri" w:eastAsia="Calibri" w:hAnsi="Calibri"/>
                <w:color w:val="auto"/>
                <w:sz w:val="16"/>
                <w:szCs w:val="16"/>
                <w:lang w:eastAsia="en-US"/>
              </w:rPr>
            </w:pPr>
            <w:r>
              <w:rPr>
                <w:rFonts w:ascii="Calibri" w:eastAsia="Calibri" w:hAnsi="Calibri"/>
                <w:color w:val="auto"/>
                <w:sz w:val="16"/>
                <w:szCs w:val="16"/>
                <w:lang w:eastAsia="en-US"/>
              </w:rPr>
              <w:t xml:space="preserve">Again, this shows that the longer the children are with us the better the attainment is. </w:t>
            </w:r>
          </w:p>
          <w:p w14:paraId="3F61DB8E" w14:textId="4AD56C3B" w:rsidR="00491CB5" w:rsidRPr="00491CB5" w:rsidRDefault="00491CB5" w:rsidP="00491CB5">
            <w:pPr>
              <w:suppressAutoHyphens w:val="0"/>
              <w:autoSpaceDN/>
              <w:spacing w:after="160" w:line="259" w:lineRule="auto"/>
              <w:rPr>
                <w:rFonts w:ascii="Calibri" w:eastAsia="Calibri" w:hAnsi="Calibri"/>
                <w:color w:val="auto"/>
                <w:sz w:val="16"/>
                <w:szCs w:val="16"/>
                <w:lang w:eastAsia="en-US"/>
              </w:rPr>
            </w:pPr>
            <w:r w:rsidRPr="00491CB5">
              <w:rPr>
                <w:rFonts w:ascii="Calibri" w:eastAsia="Calibri" w:hAnsi="Calibri"/>
                <w:color w:val="auto"/>
                <w:sz w:val="16"/>
                <w:szCs w:val="16"/>
                <w:lang w:eastAsia="en-US"/>
              </w:rPr>
              <w:t>Phonics headline data</w:t>
            </w:r>
          </w:p>
          <w:tbl>
            <w:tblPr>
              <w:tblStyle w:val="TableGrid"/>
              <w:tblW w:w="0" w:type="auto"/>
              <w:tblLook w:val="04A0" w:firstRow="1" w:lastRow="0" w:firstColumn="1" w:lastColumn="0" w:noHBand="0" w:noVBand="1"/>
            </w:tblPr>
            <w:tblGrid>
              <w:gridCol w:w="3114"/>
              <w:gridCol w:w="2126"/>
            </w:tblGrid>
            <w:tr w:rsidR="00491CB5" w:rsidRPr="00491CB5" w14:paraId="14776C03" w14:textId="77777777" w:rsidTr="00224125">
              <w:tc>
                <w:tcPr>
                  <w:tcW w:w="3114" w:type="dxa"/>
                </w:tcPr>
                <w:p w14:paraId="2830B9A5" w14:textId="77777777" w:rsidR="00491CB5" w:rsidRPr="00491CB5" w:rsidRDefault="00491CB5" w:rsidP="00491CB5">
                  <w:pPr>
                    <w:suppressAutoHyphens w:val="0"/>
                    <w:autoSpaceDN/>
                    <w:spacing w:after="0" w:line="240" w:lineRule="auto"/>
                    <w:rPr>
                      <w:rFonts w:ascii="Calibri" w:eastAsia="Calibri" w:hAnsi="Calibri"/>
                      <w:color w:val="auto"/>
                      <w:sz w:val="16"/>
                      <w:szCs w:val="16"/>
                      <w:lang w:eastAsia="en-US"/>
                    </w:rPr>
                  </w:pPr>
                  <w:r w:rsidRPr="00491CB5">
                    <w:rPr>
                      <w:rFonts w:ascii="Calibri" w:eastAsia="Calibri" w:hAnsi="Calibri"/>
                      <w:color w:val="auto"/>
                      <w:sz w:val="16"/>
                      <w:szCs w:val="16"/>
                      <w:lang w:eastAsia="en-US"/>
                    </w:rPr>
                    <w:t xml:space="preserve">Year One </w:t>
                  </w:r>
                </w:p>
              </w:tc>
              <w:tc>
                <w:tcPr>
                  <w:tcW w:w="2126" w:type="dxa"/>
                </w:tcPr>
                <w:p w14:paraId="704EA75C" w14:textId="77777777" w:rsidR="00491CB5" w:rsidRPr="00491CB5" w:rsidRDefault="00491CB5" w:rsidP="00491CB5">
                  <w:pPr>
                    <w:suppressAutoHyphens w:val="0"/>
                    <w:autoSpaceDN/>
                    <w:spacing w:after="0" w:line="240" w:lineRule="auto"/>
                    <w:rPr>
                      <w:rFonts w:ascii="Calibri" w:eastAsia="Calibri" w:hAnsi="Calibri"/>
                      <w:color w:val="auto"/>
                      <w:sz w:val="16"/>
                      <w:szCs w:val="16"/>
                      <w:lang w:eastAsia="en-US"/>
                    </w:rPr>
                  </w:pPr>
                  <w:r w:rsidRPr="00491CB5">
                    <w:rPr>
                      <w:rFonts w:ascii="Calibri" w:eastAsia="Calibri" w:hAnsi="Calibri"/>
                      <w:color w:val="auto"/>
                      <w:sz w:val="16"/>
                      <w:szCs w:val="16"/>
                      <w:lang w:eastAsia="en-US"/>
                    </w:rPr>
                    <w:t>69%</w:t>
                  </w:r>
                </w:p>
              </w:tc>
            </w:tr>
            <w:tr w:rsidR="00491CB5" w:rsidRPr="00491CB5" w14:paraId="34377B68" w14:textId="77777777" w:rsidTr="00224125">
              <w:tc>
                <w:tcPr>
                  <w:tcW w:w="3114" w:type="dxa"/>
                </w:tcPr>
                <w:p w14:paraId="44775EAB" w14:textId="77777777" w:rsidR="00491CB5" w:rsidRPr="00491CB5" w:rsidRDefault="00491CB5" w:rsidP="00491CB5">
                  <w:pPr>
                    <w:suppressAutoHyphens w:val="0"/>
                    <w:autoSpaceDN/>
                    <w:spacing w:after="0" w:line="240" w:lineRule="auto"/>
                    <w:rPr>
                      <w:rFonts w:ascii="Calibri" w:eastAsia="Calibri" w:hAnsi="Calibri"/>
                      <w:color w:val="auto"/>
                      <w:sz w:val="16"/>
                      <w:szCs w:val="16"/>
                      <w:lang w:eastAsia="en-US"/>
                    </w:rPr>
                  </w:pPr>
                  <w:r w:rsidRPr="00491CB5">
                    <w:rPr>
                      <w:rFonts w:ascii="Calibri" w:eastAsia="Calibri" w:hAnsi="Calibri"/>
                      <w:color w:val="auto"/>
                      <w:sz w:val="16"/>
                      <w:szCs w:val="16"/>
                      <w:lang w:eastAsia="en-US"/>
                    </w:rPr>
                    <w:t>Year 2 checks all</w:t>
                  </w:r>
                </w:p>
              </w:tc>
              <w:tc>
                <w:tcPr>
                  <w:tcW w:w="2126" w:type="dxa"/>
                </w:tcPr>
                <w:p w14:paraId="3277AD13" w14:textId="77777777" w:rsidR="00491CB5" w:rsidRPr="00491CB5" w:rsidRDefault="00491CB5" w:rsidP="00491CB5">
                  <w:pPr>
                    <w:suppressAutoHyphens w:val="0"/>
                    <w:autoSpaceDN/>
                    <w:spacing w:after="0" w:line="240" w:lineRule="auto"/>
                    <w:rPr>
                      <w:rFonts w:ascii="Calibri" w:eastAsia="Calibri" w:hAnsi="Calibri"/>
                      <w:color w:val="auto"/>
                      <w:sz w:val="16"/>
                      <w:szCs w:val="16"/>
                      <w:lang w:eastAsia="en-US"/>
                    </w:rPr>
                  </w:pPr>
                  <w:r w:rsidRPr="00491CB5">
                    <w:rPr>
                      <w:rFonts w:ascii="Calibri" w:eastAsia="Calibri" w:hAnsi="Calibri"/>
                      <w:color w:val="auto"/>
                      <w:sz w:val="16"/>
                      <w:szCs w:val="16"/>
                      <w:lang w:eastAsia="en-US"/>
                    </w:rPr>
                    <w:t>54.5%</w:t>
                  </w:r>
                </w:p>
              </w:tc>
            </w:tr>
            <w:tr w:rsidR="00491CB5" w:rsidRPr="00491CB5" w14:paraId="070D1A1D" w14:textId="77777777" w:rsidTr="00224125">
              <w:tc>
                <w:tcPr>
                  <w:tcW w:w="3114" w:type="dxa"/>
                </w:tcPr>
                <w:p w14:paraId="4F8625E3" w14:textId="77777777" w:rsidR="00491CB5" w:rsidRPr="00491CB5" w:rsidRDefault="00491CB5" w:rsidP="00491CB5">
                  <w:pPr>
                    <w:suppressAutoHyphens w:val="0"/>
                    <w:autoSpaceDN/>
                    <w:spacing w:after="0" w:line="240" w:lineRule="auto"/>
                    <w:rPr>
                      <w:rFonts w:ascii="Calibri" w:eastAsia="Calibri" w:hAnsi="Calibri"/>
                      <w:color w:val="auto"/>
                      <w:sz w:val="16"/>
                      <w:szCs w:val="16"/>
                      <w:lang w:eastAsia="en-US"/>
                    </w:rPr>
                  </w:pPr>
                  <w:r w:rsidRPr="00491CB5">
                    <w:rPr>
                      <w:rFonts w:ascii="Calibri" w:eastAsia="Calibri" w:hAnsi="Calibri"/>
                      <w:color w:val="auto"/>
                      <w:sz w:val="16"/>
                      <w:szCs w:val="16"/>
                      <w:lang w:eastAsia="en-US"/>
                    </w:rPr>
                    <w:t>Year 2 rechecks</w:t>
                  </w:r>
                </w:p>
              </w:tc>
              <w:tc>
                <w:tcPr>
                  <w:tcW w:w="2126" w:type="dxa"/>
                </w:tcPr>
                <w:p w14:paraId="68685EE3" w14:textId="77777777" w:rsidR="00491CB5" w:rsidRPr="00491CB5" w:rsidRDefault="00491CB5" w:rsidP="00491CB5">
                  <w:pPr>
                    <w:suppressAutoHyphens w:val="0"/>
                    <w:autoSpaceDN/>
                    <w:spacing w:after="0" w:line="240" w:lineRule="auto"/>
                    <w:rPr>
                      <w:rFonts w:ascii="Calibri" w:eastAsia="Calibri" w:hAnsi="Calibri"/>
                      <w:color w:val="auto"/>
                      <w:sz w:val="16"/>
                      <w:szCs w:val="16"/>
                      <w:lang w:eastAsia="en-US"/>
                    </w:rPr>
                  </w:pPr>
                  <w:r w:rsidRPr="00491CB5">
                    <w:rPr>
                      <w:rFonts w:ascii="Calibri" w:eastAsia="Calibri" w:hAnsi="Calibri"/>
                      <w:color w:val="auto"/>
                      <w:sz w:val="16"/>
                      <w:szCs w:val="16"/>
                      <w:lang w:eastAsia="en-US"/>
                    </w:rPr>
                    <w:t>72%</w:t>
                  </w:r>
                </w:p>
              </w:tc>
            </w:tr>
            <w:tr w:rsidR="00491CB5" w:rsidRPr="00491CB5" w14:paraId="18D46C22" w14:textId="77777777" w:rsidTr="00224125">
              <w:tc>
                <w:tcPr>
                  <w:tcW w:w="3114" w:type="dxa"/>
                </w:tcPr>
                <w:p w14:paraId="1CAF7060" w14:textId="77777777" w:rsidR="00491CB5" w:rsidRPr="00491CB5" w:rsidRDefault="00491CB5" w:rsidP="00491CB5">
                  <w:pPr>
                    <w:suppressAutoHyphens w:val="0"/>
                    <w:autoSpaceDN/>
                    <w:spacing w:after="0" w:line="240" w:lineRule="auto"/>
                    <w:rPr>
                      <w:rFonts w:ascii="Calibri" w:eastAsia="Calibri" w:hAnsi="Calibri"/>
                      <w:color w:val="auto"/>
                      <w:sz w:val="16"/>
                      <w:szCs w:val="16"/>
                      <w:lang w:eastAsia="en-US"/>
                    </w:rPr>
                  </w:pPr>
                  <w:r w:rsidRPr="00491CB5">
                    <w:rPr>
                      <w:rFonts w:ascii="Calibri" w:eastAsia="Calibri" w:hAnsi="Calibri"/>
                      <w:color w:val="auto"/>
                      <w:sz w:val="16"/>
                      <w:szCs w:val="16"/>
                      <w:lang w:eastAsia="en-US"/>
                    </w:rPr>
                    <w:t xml:space="preserve">End of Key Stage </w:t>
                  </w:r>
                </w:p>
              </w:tc>
              <w:tc>
                <w:tcPr>
                  <w:tcW w:w="2126" w:type="dxa"/>
                </w:tcPr>
                <w:p w14:paraId="1176E24D" w14:textId="77777777" w:rsidR="00491CB5" w:rsidRPr="00491CB5" w:rsidRDefault="00491CB5" w:rsidP="00491CB5">
                  <w:pPr>
                    <w:suppressAutoHyphens w:val="0"/>
                    <w:autoSpaceDN/>
                    <w:spacing w:after="0" w:line="240" w:lineRule="auto"/>
                    <w:rPr>
                      <w:rFonts w:ascii="Calibri" w:eastAsia="Calibri" w:hAnsi="Calibri"/>
                      <w:color w:val="auto"/>
                      <w:sz w:val="16"/>
                      <w:szCs w:val="16"/>
                      <w:lang w:eastAsia="en-US"/>
                    </w:rPr>
                  </w:pPr>
                  <w:r w:rsidRPr="00491CB5">
                    <w:rPr>
                      <w:rFonts w:ascii="Calibri" w:eastAsia="Calibri" w:hAnsi="Calibri"/>
                      <w:color w:val="auto"/>
                      <w:sz w:val="16"/>
                      <w:szCs w:val="16"/>
                      <w:lang w:eastAsia="en-US"/>
                    </w:rPr>
                    <w:t>74.5%</w:t>
                  </w:r>
                </w:p>
              </w:tc>
            </w:tr>
          </w:tbl>
          <w:p w14:paraId="3CB440CF" w14:textId="3ECDF4DB" w:rsidR="00491CB5" w:rsidRPr="00F00E28" w:rsidRDefault="00491CB5" w:rsidP="00491CB5">
            <w:pPr>
              <w:suppressAutoHyphens w:val="0"/>
              <w:autoSpaceDN/>
              <w:spacing w:after="160" w:line="259" w:lineRule="auto"/>
              <w:rPr>
                <w:rFonts w:ascii="Calibri" w:eastAsia="Calibri" w:hAnsi="Calibri"/>
                <w:color w:val="auto"/>
                <w:sz w:val="16"/>
                <w:szCs w:val="16"/>
                <w:lang w:eastAsia="en-US"/>
              </w:rPr>
            </w:pPr>
            <w:r w:rsidRPr="00491CB5">
              <w:rPr>
                <w:rFonts w:ascii="Calibri" w:eastAsia="Calibri" w:hAnsi="Calibri"/>
                <w:color w:val="auto"/>
                <w:sz w:val="16"/>
                <w:szCs w:val="16"/>
                <w:lang w:eastAsia="en-US"/>
              </w:rPr>
              <w:t xml:space="preserve"> </w:t>
            </w:r>
            <w:r w:rsidR="00224125">
              <w:rPr>
                <w:rFonts w:ascii="Calibri" w:eastAsia="Calibri" w:hAnsi="Calibri"/>
                <w:color w:val="auto"/>
                <w:sz w:val="16"/>
                <w:szCs w:val="16"/>
                <w:lang w:eastAsia="en-US"/>
              </w:rPr>
              <w:t xml:space="preserve">There were </w:t>
            </w:r>
            <w:r w:rsidRPr="00491CB5">
              <w:rPr>
                <w:rFonts w:ascii="Calibri" w:eastAsia="Calibri" w:hAnsi="Calibri"/>
                <w:color w:val="auto"/>
                <w:sz w:val="16"/>
                <w:szCs w:val="16"/>
                <w:lang w:eastAsia="en-US"/>
              </w:rPr>
              <w:t xml:space="preserve">14 new arrivals into Year 2 since September 23 </w:t>
            </w:r>
            <w:r w:rsidR="00224125">
              <w:rPr>
                <w:rFonts w:ascii="Calibri" w:eastAsia="Calibri" w:hAnsi="Calibri"/>
                <w:color w:val="auto"/>
                <w:sz w:val="16"/>
                <w:szCs w:val="16"/>
                <w:lang w:eastAsia="en-US"/>
              </w:rPr>
              <w:t>and all of them were EAL.</w:t>
            </w:r>
          </w:p>
          <w:p w14:paraId="7B9380A5" w14:textId="72E42DA1" w:rsidR="00491CB5" w:rsidRPr="00F00E28" w:rsidRDefault="00491CB5" w:rsidP="00491CB5">
            <w:pPr>
              <w:suppressAutoHyphens w:val="0"/>
              <w:autoSpaceDN/>
              <w:spacing w:after="160" w:line="259" w:lineRule="auto"/>
              <w:rPr>
                <w:rFonts w:ascii="Calibri" w:eastAsia="Calibri" w:hAnsi="Calibri"/>
                <w:color w:val="auto"/>
                <w:sz w:val="20"/>
                <w:szCs w:val="20"/>
                <w:lang w:eastAsia="en-US"/>
              </w:rPr>
            </w:pPr>
            <w:r w:rsidRPr="00F00E28">
              <w:rPr>
                <w:rFonts w:ascii="Calibri" w:eastAsia="Calibri" w:hAnsi="Calibri"/>
                <w:color w:val="auto"/>
                <w:sz w:val="20"/>
                <w:szCs w:val="20"/>
                <w:lang w:eastAsia="en-US"/>
              </w:rPr>
              <w:t>Year 6</w:t>
            </w:r>
          </w:p>
          <w:tbl>
            <w:tblPr>
              <w:tblW w:w="10065" w:type="dxa"/>
              <w:tblCellMar>
                <w:left w:w="0" w:type="dxa"/>
                <w:right w:w="0" w:type="dxa"/>
              </w:tblCellMar>
              <w:tblLook w:val="04A0" w:firstRow="1" w:lastRow="0" w:firstColumn="1" w:lastColumn="0" w:noHBand="0" w:noVBand="1"/>
            </w:tblPr>
            <w:tblGrid>
              <w:gridCol w:w="1733"/>
              <w:gridCol w:w="1041"/>
              <w:gridCol w:w="1042"/>
              <w:gridCol w:w="1041"/>
              <w:gridCol w:w="1042"/>
              <w:gridCol w:w="1041"/>
              <w:gridCol w:w="1042"/>
              <w:gridCol w:w="1041"/>
              <w:gridCol w:w="1042"/>
            </w:tblGrid>
            <w:tr w:rsidR="00491CB5" w:rsidRPr="00163D91" w14:paraId="58BA49F0" w14:textId="77777777" w:rsidTr="00224125">
              <w:tc>
                <w:tcPr>
                  <w:tcW w:w="1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016131"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Group</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FA5E15"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Reading ARE</w:t>
                  </w:r>
                </w:p>
              </w:tc>
              <w:tc>
                <w:tcPr>
                  <w:tcW w:w="1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817D6"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Writing ARE</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B715CD"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Maths</w:t>
                  </w:r>
                </w:p>
                <w:p w14:paraId="54CC47FE"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ARE</w:t>
                  </w:r>
                </w:p>
              </w:tc>
              <w:tc>
                <w:tcPr>
                  <w:tcW w:w="1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2B20A"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Combined</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51082"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Reading GDS</w:t>
                  </w:r>
                </w:p>
              </w:tc>
              <w:tc>
                <w:tcPr>
                  <w:tcW w:w="1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773421"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Writing GDS</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1794DB"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Maths</w:t>
                  </w:r>
                </w:p>
                <w:p w14:paraId="12B6583F"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GDS</w:t>
                  </w:r>
                </w:p>
              </w:tc>
              <w:tc>
                <w:tcPr>
                  <w:tcW w:w="1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435AF"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Combined</w:t>
                  </w:r>
                </w:p>
                <w:p w14:paraId="376C81BF"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GDS</w:t>
                  </w:r>
                </w:p>
              </w:tc>
            </w:tr>
            <w:tr w:rsidR="00491CB5" w:rsidRPr="00163D91" w14:paraId="77845E8A" w14:textId="77777777" w:rsidTr="00224125">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355F3"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All children</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63F53C58"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75%</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5218D98E"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70%</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1E5EF168"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68.3%</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3B5FEDEF"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60%</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6A37CAC7"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28.3%</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796B3624"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6.7%</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2108FAF7"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33.3%</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7090A12E"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5%</w:t>
                  </w:r>
                </w:p>
              </w:tc>
            </w:tr>
            <w:tr w:rsidR="00491CB5" w:rsidRPr="00163D91" w14:paraId="6FE14B3A" w14:textId="77777777" w:rsidTr="00224125">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BC5A7"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Reading LA</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264A5257"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72.9%</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0C458FB4"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65.9%</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63A6936D"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72.3%</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0872AECB"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58.2%</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32A84E54"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31.1%</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7DD1C946"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9.5%</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74237DAF"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27.7%</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10999B23"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6.9%</w:t>
                  </w:r>
                </w:p>
              </w:tc>
            </w:tr>
            <w:tr w:rsidR="00491CB5" w:rsidRPr="00163D91" w14:paraId="7E988814" w14:textId="77777777" w:rsidTr="00224125">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FF525"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National</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4C3C56B2"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74%</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41D6C4BA"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72%</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6745FA25"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73%</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029A50D6"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61%</w:t>
                  </w:r>
                </w:p>
              </w:tc>
              <w:tc>
                <w:tcPr>
                  <w:tcW w:w="1041"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751BCABA"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 </w:t>
                  </w:r>
                </w:p>
              </w:tc>
              <w:tc>
                <w:tcPr>
                  <w:tcW w:w="1042"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463D2920"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 </w:t>
                  </w:r>
                </w:p>
              </w:tc>
              <w:tc>
                <w:tcPr>
                  <w:tcW w:w="1041"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335F7C3B"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 </w:t>
                  </w:r>
                </w:p>
              </w:tc>
              <w:tc>
                <w:tcPr>
                  <w:tcW w:w="1042"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712DA179"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 </w:t>
                  </w:r>
                </w:p>
              </w:tc>
            </w:tr>
            <w:tr w:rsidR="00491CB5" w:rsidRPr="00163D91" w14:paraId="0A1CF9E9" w14:textId="77777777" w:rsidTr="00224125">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96179"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All children without 8 EHCPS</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490D42B0"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84.6%</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1CC42AB6"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80.7%</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2CA75A9D"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80.7%</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2B4C125A"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69%</w:t>
                  </w:r>
                </w:p>
              </w:tc>
              <w:tc>
                <w:tcPr>
                  <w:tcW w:w="1041"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2068CDF4"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 </w:t>
                  </w:r>
                </w:p>
              </w:tc>
              <w:tc>
                <w:tcPr>
                  <w:tcW w:w="1042"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6FB1D983"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 </w:t>
                  </w:r>
                </w:p>
              </w:tc>
              <w:tc>
                <w:tcPr>
                  <w:tcW w:w="1041"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14F2688F"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 </w:t>
                  </w:r>
                </w:p>
              </w:tc>
              <w:tc>
                <w:tcPr>
                  <w:tcW w:w="1042"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32A1F411"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 </w:t>
                  </w:r>
                </w:p>
              </w:tc>
            </w:tr>
            <w:tr w:rsidR="00491CB5" w:rsidRPr="00163D91" w14:paraId="5D7E46B7" w14:textId="77777777" w:rsidTr="00224125">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C08EF"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Children who have been here since end of year 2</w:t>
                  </w:r>
                </w:p>
                <w:p w14:paraId="26DF6F86" w14:textId="2F871BF3"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(this DOESN’T include 6 EHCPS)</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64C63215"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88.4%</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227C37A2"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88.4%</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126EF9D3"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84.6%</w:t>
                  </w:r>
                </w:p>
              </w:tc>
              <w:tc>
                <w:tcPr>
                  <w:tcW w:w="1042" w:type="dxa"/>
                  <w:tcBorders>
                    <w:top w:val="nil"/>
                    <w:left w:val="nil"/>
                    <w:bottom w:val="single" w:sz="8" w:space="0" w:color="auto"/>
                    <w:right w:val="single" w:sz="8" w:space="0" w:color="auto"/>
                  </w:tcBorders>
                  <w:tcMar>
                    <w:top w:w="0" w:type="dxa"/>
                    <w:left w:w="108" w:type="dxa"/>
                    <w:bottom w:w="0" w:type="dxa"/>
                    <w:right w:w="108" w:type="dxa"/>
                  </w:tcMar>
                  <w:hideMark/>
                </w:tcPr>
                <w:p w14:paraId="4672E16E"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76.9%</w:t>
                  </w:r>
                </w:p>
              </w:tc>
              <w:tc>
                <w:tcPr>
                  <w:tcW w:w="1041"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403F0144"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 </w:t>
                  </w:r>
                </w:p>
              </w:tc>
              <w:tc>
                <w:tcPr>
                  <w:tcW w:w="1042"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4C207268"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 </w:t>
                  </w:r>
                </w:p>
              </w:tc>
              <w:tc>
                <w:tcPr>
                  <w:tcW w:w="1041"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13D1DE6B"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 </w:t>
                  </w:r>
                </w:p>
              </w:tc>
              <w:tc>
                <w:tcPr>
                  <w:tcW w:w="1042"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754E7227" w14:textId="77777777" w:rsidR="00491CB5" w:rsidRPr="00F00E28" w:rsidRDefault="00491CB5" w:rsidP="00491CB5">
                  <w:pPr>
                    <w:spacing w:after="0" w:line="240" w:lineRule="auto"/>
                    <w:rPr>
                      <w:rFonts w:asciiTheme="minorHAnsi" w:hAnsiTheme="minorHAnsi" w:cstheme="minorHAnsi"/>
                      <w:sz w:val="16"/>
                      <w:szCs w:val="16"/>
                    </w:rPr>
                  </w:pPr>
                  <w:r w:rsidRPr="00F00E28">
                    <w:rPr>
                      <w:rFonts w:asciiTheme="minorHAnsi" w:hAnsiTheme="minorHAnsi" w:cstheme="minorHAnsi"/>
                      <w:sz w:val="16"/>
                      <w:szCs w:val="16"/>
                      <w:bdr w:val="none" w:sz="0" w:space="0" w:color="auto" w:frame="1"/>
                    </w:rPr>
                    <w:t> </w:t>
                  </w:r>
                </w:p>
              </w:tc>
            </w:tr>
          </w:tbl>
          <w:p w14:paraId="36B77FC3" w14:textId="555E92EC" w:rsidR="00491CB5" w:rsidRDefault="00491CB5" w:rsidP="00491CB5">
            <w:pPr>
              <w:suppressAutoHyphens w:val="0"/>
              <w:autoSpaceDN/>
              <w:spacing w:after="160" w:line="259" w:lineRule="auto"/>
              <w:rPr>
                <w:rFonts w:ascii="Calibri" w:eastAsia="Calibri" w:hAnsi="Calibri"/>
                <w:color w:val="auto"/>
                <w:sz w:val="22"/>
                <w:szCs w:val="22"/>
                <w:lang w:eastAsia="en-US"/>
              </w:rPr>
            </w:pPr>
          </w:p>
          <w:p w14:paraId="673ADD3E" w14:textId="77777777" w:rsidR="00491CB5" w:rsidRPr="00491CB5" w:rsidRDefault="00491CB5" w:rsidP="00491CB5">
            <w:pPr>
              <w:shd w:val="clear" w:color="auto" w:fill="FFFFFF"/>
              <w:suppressAutoHyphens w:val="0"/>
              <w:autoSpaceDN/>
              <w:spacing w:after="0" w:line="240" w:lineRule="auto"/>
              <w:rPr>
                <w:rFonts w:asciiTheme="minorHAnsi" w:hAnsiTheme="minorHAnsi" w:cstheme="minorHAnsi"/>
                <w:color w:val="242424"/>
                <w:sz w:val="20"/>
                <w:szCs w:val="20"/>
              </w:rPr>
            </w:pPr>
            <w:r w:rsidRPr="00491CB5">
              <w:rPr>
                <w:rFonts w:asciiTheme="minorHAnsi" w:hAnsiTheme="minorHAnsi" w:cstheme="minorHAnsi"/>
                <w:color w:val="242424"/>
                <w:sz w:val="20"/>
                <w:szCs w:val="20"/>
              </w:rPr>
              <w:t>Groups</w:t>
            </w:r>
          </w:p>
          <w:tbl>
            <w:tblPr>
              <w:tblW w:w="10086" w:type="dxa"/>
              <w:shd w:val="clear" w:color="auto" w:fill="FFFFFF"/>
              <w:tblCellMar>
                <w:left w:w="0" w:type="dxa"/>
                <w:right w:w="0" w:type="dxa"/>
              </w:tblCellMar>
              <w:tblLook w:val="04A0" w:firstRow="1" w:lastRow="0" w:firstColumn="1" w:lastColumn="0" w:noHBand="0" w:noVBand="1"/>
            </w:tblPr>
            <w:tblGrid>
              <w:gridCol w:w="1982"/>
              <w:gridCol w:w="2025"/>
              <w:gridCol w:w="2027"/>
              <w:gridCol w:w="2025"/>
              <w:gridCol w:w="2027"/>
            </w:tblGrid>
            <w:tr w:rsidR="00491CB5" w:rsidRPr="00491CB5" w14:paraId="292675EF" w14:textId="77777777" w:rsidTr="00F00E28">
              <w:trPr>
                <w:trHeight w:val="412"/>
              </w:trPr>
              <w:tc>
                <w:tcPr>
                  <w:tcW w:w="19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467022"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Group</w:t>
                  </w:r>
                </w:p>
              </w:tc>
              <w:tc>
                <w:tcPr>
                  <w:tcW w:w="20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48B5AD"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Reading ARE</w:t>
                  </w:r>
                </w:p>
              </w:tc>
              <w:tc>
                <w:tcPr>
                  <w:tcW w:w="20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6E61D8"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Writing ARE</w:t>
                  </w:r>
                </w:p>
              </w:tc>
              <w:tc>
                <w:tcPr>
                  <w:tcW w:w="20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EAC9DEC"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Maths</w:t>
                  </w:r>
                </w:p>
                <w:p w14:paraId="0F33235B"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ARE</w:t>
                  </w:r>
                </w:p>
              </w:tc>
              <w:tc>
                <w:tcPr>
                  <w:tcW w:w="20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E00B83"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Combined</w:t>
                  </w:r>
                </w:p>
              </w:tc>
            </w:tr>
            <w:tr w:rsidR="00491CB5" w:rsidRPr="00491CB5" w14:paraId="5E5A33AA" w14:textId="77777777" w:rsidTr="00F00E28">
              <w:trPr>
                <w:trHeight w:val="412"/>
              </w:trPr>
              <w:tc>
                <w:tcPr>
                  <w:tcW w:w="19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872764"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All SEN (6)</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FF11CD"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53%</w:t>
                  </w:r>
                </w:p>
              </w:tc>
              <w:tc>
                <w:tcPr>
                  <w:tcW w:w="2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5AC394"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35.7%</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0E0A5C"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35.7%</w:t>
                  </w:r>
                </w:p>
              </w:tc>
              <w:tc>
                <w:tcPr>
                  <w:tcW w:w="2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06687"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28.5%</w:t>
                  </w:r>
                </w:p>
              </w:tc>
            </w:tr>
            <w:tr w:rsidR="00491CB5" w:rsidRPr="00491CB5" w14:paraId="088A32EB" w14:textId="77777777" w:rsidTr="00F00E28">
              <w:trPr>
                <w:trHeight w:val="613"/>
              </w:trPr>
              <w:tc>
                <w:tcPr>
                  <w:tcW w:w="19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7CECCE"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SEN support (2)</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9571D3"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100%</w:t>
                  </w:r>
                </w:p>
              </w:tc>
              <w:tc>
                <w:tcPr>
                  <w:tcW w:w="2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3CA76F"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66.6%</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F029DD"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66.6%</w:t>
                  </w:r>
                </w:p>
              </w:tc>
              <w:tc>
                <w:tcPr>
                  <w:tcW w:w="2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82C346"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50%</w:t>
                  </w:r>
                </w:p>
              </w:tc>
            </w:tr>
            <w:tr w:rsidR="00491CB5" w:rsidRPr="00491CB5" w14:paraId="1BC92690" w14:textId="77777777" w:rsidTr="00F00E28">
              <w:trPr>
                <w:trHeight w:val="259"/>
              </w:trPr>
              <w:tc>
                <w:tcPr>
                  <w:tcW w:w="19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D016B9"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EHCP (4)</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047746"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25%</w:t>
                  </w:r>
                </w:p>
              </w:tc>
              <w:tc>
                <w:tcPr>
                  <w:tcW w:w="2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07786"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0%</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D600E9"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0%</w:t>
                  </w:r>
                </w:p>
              </w:tc>
              <w:tc>
                <w:tcPr>
                  <w:tcW w:w="2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EDAB15"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0%</w:t>
                  </w:r>
                </w:p>
              </w:tc>
            </w:tr>
            <w:tr w:rsidR="00491CB5" w:rsidRPr="00491CB5" w14:paraId="2C5192A6" w14:textId="77777777" w:rsidTr="00F00E28">
              <w:trPr>
                <w:trHeight w:val="412"/>
              </w:trPr>
              <w:tc>
                <w:tcPr>
                  <w:tcW w:w="1982" w:type="dxa"/>
                  <w:tcBorders>
                    <w:top w:val="nil"/>
                    <w:left w:val="single" w:sz="8" w:space="0" w:color="auto"/>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14:paraId="0ED9254D"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Pupil premium</w:t>
                  </w:r>
                </w:p>
              </w:tc>
              <w:tc>
                <w:tcPr>
                  <w:tcW w:w="2025" w:type="dxa"/>
                  <w:tcBorders>
                    <w:top w:val="nil"/>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14:paraId="3B78BD49"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68.75%</w:t>
                  </w:r>
                </w:p>
              </w:tc>
              <w:tc>
                <w:tcPr>
                  <w:tcW w:w="2027" w:type="dxa"/>
                  <w:tcBorders>
                    <w:top w:val="nil"/>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14:paraId="220269D8"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50%</w:t>
                  </w:r>
                </w:p>
              </w:tc>
              <w:tc>
                <w:tcPr>
                  <w:tcW w:w="2025" w:type="dxa"/>
                  <w:tcBorders>
                    <w:top w:val="nil"/>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14:paraId="51A35284"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50%</w:t>
                  </w:r>
                </w:p>
              </w:tc>
              <w:tc>
                <w:tcPr>
                  <w:tcW w:w="2027" w:type="dxa"/>
                  <w:tcBorders>
                    <w:top w:val="nil"/>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14:paraId="01A18400"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43.75%</w:t>
                  </w:r>
                </w:p>
              </w:tc>
            </w:tr>
            <w:tr w:rsidR="00491CB5" w:rsidRPr="00491CB5" w14:paraId="26F80AA2" w14:textId="77777777" w:rsidTr="00F00E28">
              <w:trPr>
                <w:trHeight w:val="613"/>
              </w:trPr>
              <w:tc>
                <w:tcPr>
                  <w:tcW w:w="1982" w:type="dxa"/>
                  <w:tcBorders>
                    <w:top w:val="nil"/>
                    <w:left w:val="single" w:sz="8" w:space="0" w:color="auto"/>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14:paraId="5073A8F2" w14:textId="58043429"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PP no EHCPS incl</w:t>
                  </w:r>
                  <w:r w:rsidR="00F00E28" w:rsidRPr="00F00E28">
                    <w:rPr>
                      <w:rFonts w:asciiTheme="minorHAnsi" w:hAnsiTheme="minorHAnsi" w:cstheme="minorHAnsi"/>
                      <w:color w:val="242424"/>
                      <w:sz w:val="16"/>
                      <w:szCs w:val="16"/>
                      <w:bdr w:val="none" w:sz="0" w:space="0" w:color="auto" w:frame="1"/>
                    </w:rPr>
                    <w:t>uded</w:t>
                  </w:r>
                </w:p>
              </w:tc>
              <w:tc>
                <w:tcPr>
                  <w:tcW w:w="2025" w:type="dxa"/>
                  <w:tcBorders>
                    <w:top w:val="nil"/>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14:paraId="00252B90"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71.4%</w:t>
                  </w:r>
                </w:p>
              </w:tc>
              <w:tc>
                <w:tcPr>
                  <w:tcW w:w="2027" w:type="dxa"/>
                  <w:tcBorders>
                    <w:top w:val="nil"/>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14:paraId="2D04F4CD"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57%</w:t>
                  </w:r>
                </w:p>
              </w:tc>
              <w:tc>
                <w:tcPr>
                  <w:tcW w:w="2025" w:type="dxa"/>
                  <w:tcBorders>
                    <w:top w:val="nil"/>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14:paraId="32302CE0"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57%</w:t>
                  </w:r>
                </w:p>
              </w:tc>
              <w:tc>
                <w:tcPr>
                  <w:tcW w:w="2027" w:type="dxa"/>
                  <w:tcBorders>
                    <w:top w:val="nil"/>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14:paraId="7D364B6A" w14:textId="77777777" w:rsidR="00491CB5" w:rsidRPr="00491CB5" w:rsidRDefault="00491CB5" w:rsidP="00491CB5">
                  <w:pPr>
                    <w:suppressAutoHyphens w:val="0"/>
                    <w:autoSpaceDN/>
                    <w:spacing w:after="0" w:line="240" w:lineRule="auto"/>
                    <w:rPr>
                      <w:rFonts w:asciiTheme="minorHAnsi" w:hAnsiTheme="minorHAnsi" w:cstheme="minorHAnsi"/>
                      <w:color w:val="242424"/>
                      <w:sz w:val="16"/>
                      <w:szCs w:val="16"/>
                    </w:rPr>
                  </w:pPr>
                  <w:r w:rsidRPr="00491CB5">
                    <w:rPr>
                      <w:rFonts w:asciiTheme="minorHAnsi" w:hAnsiTheme="minorHAnsi" w:cstheme="minorHAnsi"/>
                      <w:color w:val="242424"/>
                      <w:sz w:val="16"/>
                      <w:szCs w:val="16"/>
                      <w:bdr w:val="none" w:sz="0" w:space="0" w:color="auto" w:frame="1"/>
                    </w:rPr>
                    <w:t>50%</w:t>
                  </w:r>
                </w:p>
              </w:tc>
            </w:tr>
          </w:tbl>
          <w:p w14:paraId="283759DA" w14:textId="587FA852" w:rsidR="00491CB5" w:rsidRPr="00F8047F" w:rsidRDefault="006E72BB" w:rsidP="00491CB5">
            <w:pPr>
              <w:suppressAutoHyphens w:val="0"/>
              <w:autoSpaceDN/>
              <w:spacing w:after="160" w:line="259" w:lineRule="auto"/>
              <w:rPr>
                <w:rFonts w:ascii="Calibri" w:eastAsia="Calibri" w:hAnsi="Calibri"/>
                <w:color w:val="auto"/>
                <w:sz w:val="16"/>
                <w:szCs w:val="16"/>
                <w:lang w:eastAsia="en-US"/>
              </w:rPr>
            </w:pPr>
            <w:r w:rsidRPr="00F8047F">
              <w:rPr>
                <w:rFonts w:ascii="Calibri" w:eastAsia="Calibri" w:hAnsi="Calibri"/>
                <w:color w:val="auto"/>
                <w:sz w:val="16"/>
                <w:szCs w:val="16"/>
                <w:lang w:eastAsia="en-US"/>
              </w:rPr>
              <w:t xml:space="preserve">This data shows that writing and maths </w:t>
            </w:r>
            <w:r w:rsidR="00F8047F">
              <w:rPr>
                <w:rFonts w:ascii="Calibri" w:eastAsia="Calibri" w:hAnsi="Calibri"/>
                <w:color w:val="auto"/>
                <w:sz w:val="16"/>
                <w:szCs w:val="16"/>
                <w:lang w:eastAsia="en-US"/>
              </w:rPr>
              <w:t>are</w:t>
            </w:r>
            <w:r w:rsidRPr="00F8047F">
              <w:rPr>
                <w:rFonts w:ascii="Calibri" w:eastAsia="Calibri" w:hAnsi="Calibri"/>
                <w:color w:val="auto"/>
                <w:sz w:val="16"/>
                <w:szCs w:val="16"/>
                <w:lang w:eastAsia="en-US"/>
              </w:rPr>
              <w:t xml:space="preserve"> a priority focus for this year</w:t>
            </w:r>
            <w:r w:rsidR="00F8047F">
              <w:rPr>
                <w:rFonts w:ascii="Calibri" w:eastAsia="Calibri" w:hAnsi="Calibri"/>
                <w:color w:val="auto"/>
                <w:sz w:val="16"/>
                <w:szCs w:val="16"/>
                <w:lang w:eastAsia="en-US"/>
              </w:rPr>
              <w:t xml:space="preserve"> and this is typical for the entire cohort. </w:t>
            </w:r>
          </w:p>
          <w:p w14:paraId="50CEA9FE" w14:textId="77777777" w:rsidR="00491CB5" w:rsidRPr="00491CB5" w:rsidRDefault="00491CB5" w:rsidP="00491CB5">
            <w:pPr>
              <w:suppressAutoHyphens w:val="0"/>
              <w:autoSpaceDN/>
              <w:spacing w:after="160" w:line="259" w:lineRule="auto"/>
              <w:rPr>
                <w:rFonts w:ascii="Calibri" w:eastAsia="Calibri" w:hAnsi="Calibri"/>
                <w:color w:val="auto"/>
                <w:sz w:val="22"/>
                <w:szCs w:val="22"/>
                <w:lang w:eastAsia="en-US"/>
              </w:rPr>
            </w:pPr>
          </w:p>
          <w:p w14:paraId="5FE660B4" w14:textId="781CEDEA" w:rsidR="00491CB5" w:rsidRDefault="00491CB5" w:rsidP="006B3FDB">
            <w:pPr>
              <w:spacing w:before="60"/>
              <w:rPr>
                <w:iCs/>
                <w:lang w:eastAsia="en-US"/>
              </w:rPr>
            </w:pPr>
          </w:p>
          <w:p w14:paraId="08E02E7C" w14:textId="77777777" w:rsidR="00491CB5" w:rsidRDefault="00491CB5" w:rsidP="006B3FDB">
            <w:pPr>
              <w:spacing w:before="60"/>
              <w:rPr>
                <w:iCs/>
                <w:lang w:eastAsia="en-US"/>
              </w:rPr>
            </w:pPr>
          </w:p>
          <w:p w14:paraId="109EC6DA" w14:textId="77777777" w:rsidR="00491CB5" w:rsidRDefault="00491CB5" w:rsidP="006B3FDB">
            <w:pPr>
              <w:spacing w:before="60"/>
              <w:rPr>
                <w:iCs/>
                <w:lang w:eastAsia="en-US"/>
              </w:rPr>
            </w:pPr>
          </w:p>
          <w:p w14:paraId="55C4E2E5" w14:textId="77777777" w:rsidR="00D262D6" w:rsidRDefault="00D262D6" w:rsidP="006B3FDB">
            <w:pPr>
              <w:spacing w:before="60"/>
              <w:rPr>
                <w:iCs/>
                <w:lang w:eastAsia="en-US"/>
              </w:rPr>
            </w:pPr>
          </w:p>
          <w:p w14:paraId="78BA5FCD" w14:textId="38F1AFBA" w:rsidR="006B3FDB" w:rsidRPr="006E1500" w:rsidRDefault="006B3FDB" w:rsidP="006B3FDB">
            <w:pPr>
              <w:spacing w:before="60"/>
              <w:rPr>
                <w:b/>
                <w:iCs/>
                <w:sz w:val="20"/>
                <w:szCs w:val="20"/>
                <w:lang w:eastAsia="en-US"/>
              </w:rPr>
            </w:pPr>
          </w:p>
          <w:p w14:paraId="3923E0F1" w14:textId="0C4FDF00" w:rsidR="006B3FDB" w:rsidRDefault="006B3FDB" w:rsidP="006B3FDB">
            <w:pPr>
              <w:spacing w:before="60"/>
              <w:rPr>
                <w:iCs/>
                <w:lang w:eastAsia="en-US"/>
              </w:rPr>
            </w:pPr>
          </w:p>
          <w:p w14:paraId="3068BF77" w14:textId="21F89213" w:rsidR="00CE5CC4" w:rsidRDefault="00F8047F" w:rsidP="006B3FDB">
            <w:pPr>
              <w:spacing w:before="60"/>
              <w:rPr>
                <w:iCs/>
                <w:sz w:val="20"/>
                <w:szCs w:val="20"/>
                <w:lang w:eastAsia="en-US"/>
              </w:rPr>
            </w:pPr>
            <w:r>
              <w:rPr>
                <w:iCs/>
                <w:sz w:val="20"/>
                <w:szCs w:val="20"/>
                <w:lang w:eastAsia="en-US"/>
              </w:rPr>
              <w:lastRenderedPageBreak/>
              <w:t xml:space="preserve">In planning our new pupil premium strategy, we evaluated why activity undertaken in previous years had not always had the degree of impact that we had expected. </w:t>
            </w:r>
          </w:p>
          <w:p w14:paraId="580899F9" w14:textId="450E638A" w:rsidR="00F8047F" w:rsidRDefault="00F8047F" w:rsidP="006B3FDB">
            <w:pPr>
              <w:spacing w:before="60"/>
              <w:rPr>
                <w:iCs/>
                <w:sz w:val="20"/>
                <w:szCs w:val="20"/>
                <w:lang w:eastAsia="en-US"/>
              </w:rPr>
            </w:pPr>
            <w:r>
              <w:rPr>
                <w:iCs/>
                <w:sz w:val="20"/>
                <w:szCs w:val="20"/>
                <w:lang w:eastAsia="en-US"/>
              </w:rPr>
              <w:t>We triangulated evidence from multiple sources of data including assessment, engagement in class book scrutiny and conversations with pupils and teachers in or</w:t>
            </w:r>
            <w:r w:rsidR="003873D8">
              <w:rPr>
                <w:iCs/>
                <w:sz w:val="20"/>
                <w:szCs w:val="20"/>
                <w:lang w:eastAsia="en-US"/>
              </w:rPr>
              <w:t>d</w:t>
            </w:r>
            <w:r>
              <w:rPr>
                <w:iCs/>
                <w:sz w:val="20"/>
                <w:szCs w:val="20"/>
                <w:lang w:eastAsia="en-US"/>
              </w:rPr>
              <w:t xml:space="preserve">er to identify the challenges faced by disadvantaged </w:t>
            </w:r>
            <w:r w:rsidR="003873D8">
              <w:rPr>
                <w:iCs/>
                <w:sz w:val="20"/>
                <w:szCs w:val="20"/>
                <w:lang w:eastAsia="en-US"/>
              </w:rPr>
              <w:t>children</w:t>
            </w:r>
            <w:r>
              <w:rPr>
                <w:iCs/>
                <w:sz w:val="20"/>
                <w:szCs w:val="20"/>
                <w:lang w:eastAsia="en-US"/>
              </w:rPr>
              <w:t xml:space="preserve">. </w:t>
            </w:r>
          </w:p>
          <w:p w14:paraId="150D2FF0" w14:textId="2EFA06D3" w:rsidR="00F8047F" w:rsidRDefault="00F8047F" w:rsidP="006B3FDB">
            <w:pPr>
              <w:spacing w:before="60"/>
              <w:rPr>
                <w:iCs/>
                <w:sz w:val="20"/>
                <w:szCs w:val="20"/>
                <w:lang w:eastAsia="en-US"/>
              </w:rPr>
            </w:pPr>
            <w:r>
              <w:rPr>
                <w:iCs/>
                <w:sz w:val="20"/>
                <w:szCs w:val="20"/>
                <w:lang w:eastAsia="en-US"/>
              </w:rPr>
              <w:t>We looked at a number of reports, studies and research papers about effective use of Pupil Premium, the impact of disadvantage on educational outcomes and how to address challenges to learning pre</w:t>
            </w:r>
            <w:r w:rsidR="003873D8">
              <w:rPr>
                <w:iCs/>
                <w:sz w:val="20"/>
                <w:szCs w:val="20"/>
                <w:lang w:eastAsia="en-US"/>
              </w:rPr>
              <w:t>s</w:t>
            </w:r>
            <w:r>
              <w:rPr>
                <w:iCs/>
                <w:sz w:val="20"/>
                <w:szCs w:val="20"/>
                <w:lang w:eastAsia="en-US"/>
              </w:rPr>
              <w:t>ented by socio-economic disad</w:t>
            </w:r>
            <w:r w:rsidR="003873D8">
              <w:rPr>
                <w:iCs/>
                <w:sz w:val="20"/>
                <w:szCs w:val="20"/>
                <w:lang w:eastAsia="en-US"/>
              </w:rPr>
              <w:t>v</w:t>
            </w:r>
            <w:r>
              <w:rPr>
                <w:iCs/>
                <w:sz w:val="20"/>
                <w:szCs w:val="20"/>
                <w:lang w:eastAsia="en-US"/>
              </w:rPr>
              <w:t>antage. We also looked at studies about the impact of the pandemic on disadvantaged pupils.</w:t>
            </w:r>
          </w:p>
          <w:p w14:paraId="7257EAE5" w14:textId="53F64292" w:rsidR="00F8047F" w:rsidRDefault="00F8047F" w:rsidP="003873D8">
            <w:pPr>
              <w:spacing w:before="60"/>
              <w:rPr>
                <w:iCs/>
                <w:sz w:val="20"/>
                <w:szCs w:val="20"/>
                <w:lang w:eastAsia="en-US"/>
              </w:rPr>
            </w:pPr>
            <w:r>
              <w:rPr>
                <w:iCs/>
                <w:sz w:val="20"/>
                <w:szCs w:val="20"/>
                <w:lang w:eastAsia="en-US"/>
              </w:rPr>
              <w:t xml:space="preserve">We used the EEF’s implementation guidance to help us develop our strategy, particularly the ‘explore’ phase to help us diagnose specific pupil needs and work out which </w:t>
            </w:r>
            <w:r w:rsidR="003873D8">
              <w:rPr>
                <w:iCs/>
                <w:sz w:val="20"/>
                <w:szCs w:val="20"/>
                <w:lang w:eastAsia="en-US"/>
              </w:rPr>
              <w:t>activities</w:t>
            </w:r>
            <w:r>
              <w:rPr>
                <w:iCs/>
                <w:sz w:val="20"/>
                <w:szCs w:val="20"/>
                <w:lang w:eastAsia="en-US"/>
              </w:rPr>
              <w:t xml:space="preserve"> and approaches are likely to work in our school. We will continue to use it through the implementation of activities. </w:t>
            </w:r>
          </w:p>
          <w:p w14:paraId="3A2CB053" w14:textId="03D736A4" w:rsidR="00F56B55" w:rsidRPr="00F56B55" w:rsidRDefault="00F56B55" w:rsidP="00D262D6">
            <w:pPr>
              <w:rPr>
                <w:iCs/>
                <w:sz w:val="20"/>
                <w:szCs w:val="20"/>
                <w:lang w:eastAsia="en-US"/>
              </w:rPr>
            </w:pPr>
            <w:r w:rsidRPr="00F56B55">
              <w:rPr>
                <w:iCs/>
                <w:sz w:val="20"/>
                <w:szCs w:val="20"/>
                <w:lang w:eastAsia="en-US"/>
              </w:rPr>
              <w:t xml:space="preserve">Our assessments and observations indicate that pupil behaviour, wellbeing and mental health continue to be significantly impacted. However, a large proportion of our new arrivals who were new to the country last year experienced severe trauma and this, understandably, affects their behaviour in school. Training staff in Drawing and Talking and other emotional literacy practices has had a positive impact on how we support these children. </w:t>
            </w:r>
            <w:r w:rsidR="00F8047F">
              <w:rPr>
                <w:iCs/>
                <w:sz w:val="20"/>
                <w:szCs w:val="20"/>
                <w:lang w:eastAsia="en-US"/>
              </w:rPr>
              <w:t xml:space="preserve">We also need to consider more effective support and curriculum design for EAL children specifically in relation to the highly transient nature of our school population. </w:t>
            </w:r>
          </w:p>
          <w:p w14:paraId="5023926C" w14:textId="3BFB7E65" w:rsidR="00F56B55" w:rsidRPr="006B3FDB" w:rsidRDefault="00F56B55" w:rsidP="006B3FDB">
            <w:pPr>
              <w:spacing w:before="60"/>
              <w:rPr>
                <w:iCs/>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Pr="00D262D6" w:rsidRDefault="0B240EAF" w:rsidP="07FFD3D3">
      <w:pPr>
        <w:rPr>
          <w:i/>
          <w:iCs/>
          <w:sz w:val="20"/>
          <w:szCs w:val="20"/>
        </w:rPr>
      </w:pPr>
      <w:r w:rsidRPr="00D262D6">
        <w:rPr>
          <w:i/>
          <w:iCs/>
          <w:sz w:val="20"/>
          <w:szCs w:val="20"/>
        </w:rPr>
        <w:t xml:space="preserve">Please include the names of any non-DfE programmes that you </w:t>
      </w:r>
      <w:r w:rsidR="491E3A64" w:rsidRPr="00D262D6">
        <w:rPr>
          <w:i/>
          <w:iCs/>
          <w:sz w:val="20"/>
          <w:szCs w:val="20"/>
        </w:rPr>
        <w:t xml:space="preserve">used your pupil premium (or recovery premium) to fund </w:t>
      </w:r>
      <w:r w:rsidRPr="00D262D6">
        <w:rPr>
          <w:i/>
          <w:iCs/>
          <w:sz w:val="20"/>
          <w:szCs w:val="20"/>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9447915" w:rsidR="00E66558" w:rsidRPr="00D262D6" w:rsidRDefault="00C672AC">
            <w:pPr>
              <w:pStyle w:val="TableRow"/>
              <w:rPr>
                <w:sz w:val="20"/>
                <w:szCs w:val="20"/>
              </w:rPr>
            </w:pPr>
            <w:r w:rsidRPr="00D262D6">
              <w:rPr>
                <w:sz w:val="20"/>
                <w:szCs w:val="20"/>
              </w:rPr>
              <w:t>Read Write Inc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6BA9B92" w:rsidR="00E66558" w:rsidRPr="00D262D6" w:rsidRDefault="00C672AC">
            <w:pPr>
              <w:pStyle w:val="TableRowCentered"/>
              <w:jc w:val="left"/>
              <w:rPr>
                <w:sz w:val="20"/>
              </w:rPr>
            </w:pPr>
            <w:r w:rsidRPr="00D262D6">
              <w:rPr>
                <w:sz w:val="20"/>
              </w:rPr>
              <w:t>Oxford University Press</w:t>
            </w:r>
          </w:p>
        </w:tc>
      </w:tr>
      <w:tr w:rsidR="00C672AC" w14:paraId="35225F2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7C09C" w14:textId="2083D065" w:rsidR="00C672AC" w:rsidRPr="00D262D6" w:rsidRDefault="00C672AC">
            <w:pPr>
              <w:pStyle w:val="TableRow"/>
              <w:rPr>
                <w:sz w:val="20"/>
                <w:szCs w:val="20"/>
              </w:rPr>
            </w:pPr>
            <w:r w:rsidRPr="00D262D6">
              <w:rPr>
                <w:sz w:val="20"/>
                <w:szCs w:val="20"/>
              </w:rPr>
              <w:t>Fluency Bee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4FE07" w14:textId="723A5539" w:rsidR="00C672AC" w:rsidRPr="00D262D6" w:rsidRDefault="00C672AC">
            <w:pPr>
              <w:pStyle w:val="TableRowCentered"/>
              <w:jc w:val="left"/>
              <w:rPr>
                <w:sz w:val="20"/>
              </w:rPr>
            </w:pPr>
            <w:r w:rsidRPr="00D262D6">
              <w:rPr>
                <w:sz w:val="20"/>
              </w:rPr>
              <w:t xml:space="preserve">White Rose Maths </w:t>
            </w:r>
          </w:p>
        </w:tc>
      </w:tr>
      <w:tr w:rsidR="00C672AC" w14:paraId="517FDC5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CAB1" w14:textId="57666C47" w:rsidR="00C672AC" w:rsidRPr="00D262D6" w:rsidRDefault="00C672AC">
            <w:pPr>
              <w:pStyle w:val="TableRow"/>
              <w:rPr>
                <w:sz w:val="20"/>
                <w:szCs w:val="20"/>
              </w:rPr>
            </w:pPr>
            <w:r w:rsidRPr="00D262D6">
              <w:rPr>
                <w:sz w:val="20"/>
                <w:szCs w:val="20"/>
              </w:rPr>
              <w:t>Times Table Rock 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BE07D" w14:textId="4F593353" w:rsidR="00C672AC" w:rsidRPr="00D262D6" w:rsidRDefault="00C672AC">
            <w:pPr>
              <w:pStyle w:val="TableRowCentered"/>
              <w:jc w:val="left"/>
              <w:rPr>
                <w:sz w:val="20"/>
              </w:rPr>
            </w:pPr>
            <w:r w:rsidRPr="00D262D6">
              <w:rPr>
                <w:sz w:val="20"/>
              </w:rPr>
              <w:t>Maths Circle Ltd</w:t>
            </w:r>
          </w:p>
        </w:tc>
      </w:tr>
      <w:tr w:rsidR="00C672AC" w14:paraId="0AA6912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6130" w14:textId="4ADC2719" w:rsidR="00C672AC" w:rsidRPr="00D262D6" w:rsidRDefault="00C672AC">
            <w:pPr>
              <w:pStyle w:val="TableRow"/>
              <w:rPr>
                <w:sz w:val="20"/>
                <w:szCs w:val="20"/>
              </w:rPr>
            </w:pPr>
            <w:r w:rsidRPr="00D262D6">
              <w:rPr>
                <w:sz w:val="20"/>
                <w:szCs w:val="20"/>
              </w:rPr>
              <w:t>Vocabulary Ninja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4F78" w14:textId="45E14517" w:rsidR="00C672AC" w:rsidRPr="00D262D6" w:rsidRDefault="00C672AC">
            <w:pPr>
              <w:pStyle w:val="TableRowCentered"/>
              <w:jc w:val="left"/>
              <w:rPr>
                <w:sz w:val="20"/>
              </w:rPr>
            </w:pPr>
            <w:r w:rsidRPr="00D262D6">
              <w:rPr>
                <w:sz w:val="20"/>
              </w:rPr>
              <w:t>Vocabulary Ninja</w:t>
            </w:r>
          </w:p>
        </w:tc>
      </w:tr>
      <w:tr w:rsidR="00C672AC" w14:paraId="20914BF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E5774" w14:textId="74F7304D" w:rsidR="00C672AC" w:rsidRPr="00D262D6" w:rsidRDefault="00C672AC">
            <w:pPr>
              <w:pStyle w:val="TableRow"/>
              <w:rPr>
                <w:sz w:val="20"/>
                <w:szCs w:val="20"/>
              </w:rPr>
            </w:pPr>
            <w:r w:rsidRPr="00D262D6">
              <w:rPr>
                <w:sz w:val="20"/>
                <w:szCs w:val="20"/>
              </w:rPr>
              <w:t>Third Space Learning: Fluent in Five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DD782" w14:textId="16511584" w:rsidR="00C672AC" w:rsidRPr="00D262D6" w:rsidRDefault="00C672AC">
            <w:pPr>
              <w:pStyle w:val="TableRowCentered"/>
              <w:jc w:val="left"/>
              <w:rPr>
                <w:sz w:val="20"/>
              </w:rPr>
            </w:pPr>
            <w:r w:rsidRPr="00D262D6">
              <w:rPr>
                <w:sz w:val="20"/>
              </w:rPr>
              <w:t>Third Space Learning</w:t>
            </w:r>
          </w:p>
        </w:tc>
      </w:tr>
      <w:tr w:rsidR="00C672AC" w14:paraId="5126C9F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2063" w14:textId="7FB1562C" w:rsidR="00C672AC" w:rsidRPr="00D262D6" w:rsidRDefault="00C672AC">
            <w:pPr>
              <w:pStyle w:val="TableRow"/>
              <w:rPr>
                <w:sz w:val="20"/>
                <w:szCs w:val="20"/>
              </w:rPr>
            </w:pPr>
            <w:r w:rsidRPr="00D262D6">
              <w:rPr>
                <w:sz w:val="20"/>
                <w:szCs w:val="20"/>
              </w:rPr>
              <w:t xml:space="preserve">Drawing and Talking Therapy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F26F9" w14:textId="6AD3D49D" w:rsidR="00C672AC" w:rsidRPr="00D262D6" w:rsidRDefault="00C672AC">
            <w:pPr>
              <w:pStyle w:val="TableRowCentered"/>
              <w:jc w:val="left"/>
              <w:rPr>
                <w:sz w:val="20"/>
              </w:rPr>
            </w:pPr>
            <w:r w:rsidRPr="00D262D6">
              <w:rPr>
                <w:sz w:val="20"/>
              </w:rPr>
              <w:t>Drawing and Talking Ltd</w:t>
            </w:r>
          </w:p>
        </w:tc>
      </w:tr>
      <w:tr w:rsidR="003F7C84" w14:paraId="51B2BE7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C63D7" w14:textId="4B9EA325" w:rsidR="003F7C84" w:rsidRPr="00D262D6" w:rsidRDefault="003F7C84">
            <w:pPr>
              <w:pStyle w:val="TableRow"/>
              <w:rPr>
                <w:sz w:val="20"/>
                <w:szCs w:val="20"/>
              </w:rPr>
            </w:pPr>
            <w:r w:rsidRPr="00D262D6">
              <w:rPr>
                <w:sz w:val="20"/>
                <w:szCs w:val="20"/>
              </w:rPr>
              <w:t>Flash Academy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F0F18" w14:textId="0CAF17B6" w:rsidR="003F7C84" w:rsidRPr="00D262D6" w:rsidRDefault="005A595B">
            <w:pPr>
              <w:pStyle w:val="TableRowCentered"/>
              <w:jc w:val="left"/>
              <w:rPr>
                <w:sz w:val="20"/>
              </w:rPr>
            </w:pPr>
            <w:r w:rsidRPr="00D262D6">
              <w:rPr>
                <w:sz w:val="20"/>
              </w:rPr>
              <w:t>Learning Labs</w:t>
            </w:r>
          </w:p>
        </w:tc>
      </w:tr>
      <w:tr w:rsidR="005A595B" w14:paraId="2ADD66F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F7486" w14:textId="40B36B4A" w:rsidR="005A595B" w:rsidRPr="00D262D6" w:rsidRDefault="005A595B">
            <w:pPr>
              <w:pStyle w:val="TableRow"/>
              <w:rPr>
                <w:sz w:val="20"/>
                <w:szCs w:val="20"/>
              </w:rPr>
            </w:pPr>
            <w:r w:rsidRPr="00D262D6">
              <w:rPr>
                <w:sz w:val="20"/>
                <w:szCs w:val="20"/>
              </w:rPr>
              <w:t>Mastering Number (Foundation and KS1)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601BB" w14:textId="73C75478" w:rsidR="005A595B" w:rsidRPr="00D262D6" w:rsidRDefault="005A595B">
            <w:pPr>
              <w:pStyle w:val="TableRowCentered"/>
              <w:jc w:val="left"/>
              <w:rPr>
                <w:sz w:val="20"/>
              </w:rPr>
            </w:pPr>
            <w:r w:rsidRPr="00D262D6">
              <w:rPr>
                <w:sz w:val="20"/>
              </w:rPr>
              <w:t>NCETM</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2A7D555F" w14:textId="72E8CFE3" w:rsidR="00E66558" w:rsidRDefault="00E66558" w:rsidP="00751B9A">
      <w:pPr>
        <w:pStyle w:val="Heading2"/>
      </w:pPr>
    </w:p>
    <w:p w14:paraId="2A7D5560" w14:textId="77777777" w:rsidR="00E66558" w:rsidRPr="00D262D6" w:rsidRDefault="009D71E8">
      <w:pPr>
        <w:pStyle w:val="Heading1"/>
        <w:rPr>
          <w:sz w:val="32"/>
          <w:szCs w:val="32"/>
        </w:rPr>
      </w:pPr>
      <w:r w:rsidRPr="00D262D6">
        <w:rPr>
          <w:sz w:val="32"/>
          <w:szCs w:val="32"/>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E14E4" w14:textId="352CBF5D" w:rsidR="00E66558" w:rsidRPr="00D262D6" w:rsidRDefault="00624E53">
            <w:pPr>
              <w:spacing w:before="120" w:after="120"/>
              <w:rPr>
                <w:rFonts w:cs="Arial"/>
                <w:iCs/>
                <w:sz w:val="20"/>
                <w:szCs w:val="20"/>
              </w:rPr>
            </w:pPr>
            <w:r w:rsidRPr="00D262D6">
              <w:rPr>
                <w:rFonts w:cs="Arial"/>
                <w:iCs/>
                <w:sz w:val="20"/>
                <w:szCs w:val="20"/>
              </w:rPr>
              <w:t>Our pupil premium strategy will be supplemented by additional activity that is not being funded by pupil premium or recovery premium. This will include:</w:t>
            </w:r>
          </w:p>
          <w:p w14:paraId="14261F7C" w14:textId="743695FB" w:rsidR="00624E53" w:rsidRPr="00D262D6" w:rsidRDefault="00624E53">
            <w:pPr>
              <w:spacing w:before="120" w:after="120"/>
              <w:rPr>
                <w:rFonts w:cs="Arial"/>
                <w:iCs/>
                <w:sz w:val="20"/>
                <w:szCs w:val="20"/>
              </w:rPr>
            </w:pPr>
          </w:p>
          <w:p w14:paraId="6D24BE75" w14:textId="45F02DAC" w:rsidR="00624E53" w:rsidRPr="00D262D6" w:rsidRDefault="00624E53" w:rsidP="00624E53">
            <w:pPr>
              <w:pStyle w:val="ListParagraph"/>
              <w:numPr>
                <w:ilvl w:val="0"/>
                <w:numId w:val="19"/>
              </w:numPr>
              <w:spacing w:before="120" w:after="120"/>
              <w:rPr>
                <w:rFonts w:cs="Arial"/>
                <w:iCs/>
                <w:sz w:val="20"/>
                <w:szCs w:val="20"/>
              </w:rPr>
            </w:pPr>
            <w:r w:rsidRPr="00D262D6">
              <w:rPr>
                <w:rFonts w:cs="Arial"/>
                <w:iCs/>
                <w:sz w:val="20"/>
                <w:szCs w:val="20"/>
              </w:rPr>
              <w:t>Class teachers targeting disadvantaged children for conference marking.</w:t>
            </w:r>
          </w:p>
          <w:p w14:paraId="55630E30" w14:textId="2A14F774" w:rsidR="00624E53" w:rsidRPr="00D262D6" w:rsidRDefault="00624E53" w:rsidP="00624E53">
            <w:pPr>
              <w:pStyle w:val="ListParagraph"/>
              <w:numPr>
                <w:ilvl w:val="0"/>
                <w:numId w:val="19"/>
              </w:numPr>
              <w:spacing w:before="120" w:after="120"/>
              <w:rPr>
                <w:rFonts w:cs="Arial"/>
                <w:iCs/>
                <w:sz w:val="20"/>
                <w:szCs w:val="20"/>
              </w:rPr>
            </w:pPr>
            <w:r w:rsidRPr="00D262D6">
              <w:rPr>
                <w:rFonts w:cs="Arial"/>
                <w:iCs/>
                <w:sz w:val="20"/>
                <w:szCs w:val="20"/>
              </w:rPr>
              <w:t>Class teachers targeting parents to ensure they all attend parents evening.</w:t>
            </w:r>
          </w:p>
          <w:p w14:paraId="4E7CCF11" w14:textId="0CB7D5F0" w:rsidR="00624E53" w:rsidRPr="00D262D6" w:rsidRDefault="00624E53" w:rsidP="00624E53">
            <w:pPr>
              <w:pStyle w:val="ListParagraph"/>
              <w:numPr>
                <w:ilvl w:val="0"/>
                <w:numId w:val="19"/>
              </w:numPr>
              <w:spacing w:before="120" w:after="120"/>
              <w:rPr>
                <w:rFonts w:cs="Arial"/>
                <w:iCs/>
                <w:sz w:val="20"/>
                <w:szCs w:val="20"/>
              </w:rPr>
            </w:pPr>
            <w:r w:rsidRPr="00D262D6">
              <w:rPr>
                <w:rFonts w:cs="Arial"/>
                <w:iCs/>
                <w:sz w:val="20"/>
                <w:szCs w:val="20"/>
              </w:rPr>
              <w:t>Protected time allocated to the extended leadership team for monitoring purpose and to determine pupil voice.</w:t>
            </w:r>
          </w:p>
          <w:p w14:paraId="07A9809E" w14:textId="362C1998" w:rsidR="00624E53" w:rsidRPr="00D262D6" w:rsidRDefault="00624E53" w:rsidP="00624E53">
            <w:pPr>
              <w:pStyle w:val="ListParagraph"/>
              <w:numPr>
                <w:ilvl w:val="0"/>
                <w:numId w:val="19"/>
              </w:numPr>
              <w:spacing w:before="120" w:after="120"/>
              <w:rPr>
                <w:rFonts w:cs="Arial"/>
                <w:iCs/>
                <w:sz w:val="20"/>
                <w:szCs w:val="20"/>
              </w:rPr>
            </w:pPr>
            <w:r w:rsidRPr="00D262D6">
              <w:rPr>
                <w:rFonts w:cs="Arial"/>
                <w:iCs/>
                <w:sz w:val="20"/>
                <w:szCs w:val="20"/>
              </w:rPr>
              <w:t xml:space="preserve">The Inclusion Manager is also the Pupil Premium lead and SENCO and as almost 50% of our disadvantaged children are SEN, can ensure they receive the provision they are entitled to. </w:t>
            </w:r>
          </w:p>
          <w:p w14:paraId="5576BCC8" w14:textId="53E78718" w:rsidR="00624E53" w:rsidRPr="00D262D6" w:rsidRDefault="00624E53" w:rsidP="00624E53">
            <w:pPr>
              <w:pStyle w:val="ListParagraph"/>
              <w:numPr>
                <w:ilvl w:val="0"/>
                <w:numId w:val="19"/>
              </w:numPr>
              <w:spacing w:before="120" w:after="120"/>
              <w:rPr>
                <w:rFonts w:cs="Arial"/>
                <w:iCs/>
                <w:sz w:val="20"/>
                <w:szCs w:val="20"/>
              </w:rPr>
            </w:pPr>
            <w:r w:rsidRPr="00D262D6">
              <w:rPr>
                <w:rFonts w:cs="Arial"/>
                <w:iCs/>
                <w:sz w:val="20"/>
                <w:szCs w:val="20"/>
              </w:rPr>
              <w:t xml:space="preserve">Offering a wide range of high-quality extra-curricular activities to boost wellbeing, behaviour, attendance and aspiration. Activities will focus on building life skills such as confidence, resilience and socialising. Disadvantaged pupils will be encouraged and supported to participate. </w:t>
            </w:r>
          </w:p>
          <w:p w14:paraId="2A7D5562" w14:textId="5EDAB6F3" w:rsidR="00624E53" w:rsidRPr="00624E53" w:rsidRDefault="00624E53">
            <w:pPr>
              <w:spacing w:before="120" w:after="120"/>
              <w:rPr>
                <w:rFonts w:cs="Arial"/>
                <w:iCs/>
              </w:rPr>
            </w:pPr>
          </w:p>
        </w:tc>
      </w:tr>
      <w:bookmarkEnd w:id="15"/>
      <w:bookmarkEnd w:id="16"/>
      <w:bookmarkEnd w:id="17"/>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A3D09" w14:textId="77777777" w:rsidR="005233B5" w:rsidRDefault="005233B5">
      <w:pPr>
        <w:spacing w:after="0" w:line="240" w:lineRule="auto"/>
      </w:pPr>
      <w:r>
        <w:separator/>
      </w:r>
    </w:p>
  </w:endnote>
  <w:endnote w:type="continuationSeparator" w:id="0">
    <w:p w14:paraId="0341B124" w14:textId="77777777" w:rsidR="005233B5" w:rsidRDefault="005233B5">
      <w:pPr>
        <w:spacing w:after="0" w:line="240" w:lineRule="auto"/>
      </w:pPr>
      <w:r>
        <w:continuationSeparator/>
      </w:r>
    </w:p>
  </w:endnote>
  <w:endnote w:type="continuationNotice" w:id="1">
    <w:p w14:paraId="3DE1C61F" w14:textId="77777777" w:rsidR="005233B5" w:rsidRDefault="00523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002FC7" w:rsidRDefault="00002FC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AE563" w14:textId="77777777" w:rsidR="005233B5" w:rsidRDefault="005233B5">
      <w:pPr>
        <w:spacing w:after="0" w:line="240" w:lineRule="auto"/>
      </w:pPr>
      <w:r>
        <w:separator/>
      </w:r>
    </w:p>
  </w:footnote>
  <w:footnote w:type="continuationSeparator" w:id="0">
    <w:p w14:paraId="3932E940" w14:textId="77777777" w:rsidR="005233B5" w:rsidRDefault="005233B5">
      <w:pPr>
        <w:spacing w:after="0" w:line="240" w:lineRule="auto"/>
      </w:pPr>
      <w:r>
        <w:continuationSeparator/>
      </w:r>
    </w:p>
  </w:footnote>
  <w:footnote w:type="continuationNotice" w:id="1">
    <w:p w14:paraId="1BD32F5A" w14:textId="77777777" w:rsidR="005233B5" w:rsidRDefault="005233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002FC7" w:rsidRDefault="00002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904146"/>
    <w:multiLevelType w:val="hybridMultilevel"/>
    <w:tmpl w:val="B3EA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1604C42"/>
    <w:multiLevelType w:val="hybridMultilevel"/>
    <w:tmpl w:val="6C02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42413"/>
    <w:multiLevelType w:val="hybridMultilevel"/>
    <w:tmpl w:val="3E362A96"/>
    <w:lvl w:ilvl="0" w:tplc="E5C684CA">
      <w:numFmt w:val="bullet"/>
      <w:lvlText w:val="•"/>
      <w:lvlJc w:val="left"/>
      <w:pPr>
        <w:ind w:left="1080" w:hanging="720"/>
      </w:pPr>
      <w:rPr>
        <w:rFonts w:ascii="Arial" w:eastAsia="Times New Roman" w:hAnsi="Arial" w:cs="Aria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D7C3C"/>
    <w:multiLevelType w:val="hybridMultilevel"/>
    <w:tmpl w:val="D45A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61C12D2"/>
    <w:multiLevelType w:val="hybridMultilevel"/>
    <w:tmpl w:val="86C6026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F736EED"/>
    <w:multiLevelType w:val="hybridMultilevel"/>
    <w:tmpl w:val="4A4EEF7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3E15254"/>
    <w:multiLevelType w:val="hybridMultilevel"/>
    <w:tmpl w:val="C19863E0"/>
    <w:lvl w:ilvl="0" w:tplc="E5C684CA">
      <w:numFmt w:val="bullet"/>
      <w:lvlText w:val="•"/>
      <w:lvlJc w:val="left"/>
      <w:pPr>
        <w:ind w:left="1080" w:hanging="720"/>
      </w:pPr>
      <w:rPr>
        <w:rFonts w:ascii="Arial" w:eastAsia="Times New Roman" w:hAnsi="Arial" w:cs="Aria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14"/>
  </w:num>
  <w:num w:numId="8">
    <w:abstractNumId w:val="20"/>
  </w:num>
  <w:num w:numId="9">
    <w:abstractNumId w:val="17"/>
  </w:num>
  <w:num w:numId="10">
    <w:abstractNumId w:val="15"/>
  </w:num>
  <w:num w:numId="11">
    <w:abstractNumId w:val="3"/>
  </w:num>
  <w:num w:numId="12">
    <w:abstractNumId w:val="18"/>
  </w:num>
  <w:num w:numId="13">
    <w:abstractNumId w:val="12"/>
  </w:num>
  <w:num w:numId="14">
    <w:abstractNumId w:val="9"/>
  </w:num>
  <w:num w:numId="15">
    <w:abstractNumId w:val="8"/>
  </w:num>
  <w:num w:numId="16">
    <w:abstractNumId w:val="1"/>
  </w:num>
  <w:num w:numId="17">
    <w:abstractNumId w:val="19"/>
  </w:num>
  <w:num w:numId="18">
    <w:abstractNumId w:val="10"/>
  </w:num>
  <w:num w:numId="19">
    <w:abstractNumId w:val="11"/>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FC7"/>
    <w:rsid w:val="00003A45"/>
    <w:rsid w:val="00023729"/>
    <w:rsid w:val="000243B4"/>
    <w:rsid w:val="0002530E"/>
    <w:rsid w:val="0002710D"/>
    <w:rsid w:val="00036678"/>
    <w:rsid w:val="000452EB"/>
    <w:rsid w:val="00045603"/>
    <w:rsid w:val="000463AE"/>
    <w:rsid w:val="000507A3"/>
    <w:rsid w:val="00057F6A"/>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6DF0"/>
    <w:rsid w:val="000F028A"/>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5A71"/>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96163"/>
    <w:rsid w:val="001A2FE8"/>
    <w:rsid w:val="001A33AC"/>
    <w:rsid w:val="001C1C51"/>
    <w:rsid w:val="001D4FC9"/>
    <w:rsid w:val="001D66BB"/>
    <w:rsid w:val="001E0ECA"/>
    <w:rsid w:val="001E206F"/>
    <w:rsid w:val="001E5750"/>
    <w:rsid w:val="001E66BA"/>
    <w:rsid w:val="001E7739"/>
    <w:rsid w:val="001F3DB4"/>
    <w:rsid w:val="001F7564"/>
    <w:rsid w:val="00203DB9"/>
    <w:rsid w:val="00204F40"/>
    <w:rsid w:val="00205DEF"/>
    <w:rsid w:val="002112C3"/>
    <w:rsid w:val="002131E5"/>
    <w:rsid w:val="00216C8A"/>
    <w:rsid w:val="00224125"/>
    <w:rsid w:val="00226317"/>
    <w:rsid w:val="00231539"/>
    <w:rsid w:val="00235861"/>
    <w:rsid w:val="00240267"/>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21CF"/>
    <w:rsid w:val="002E66AE"/>
    <w:rsid w:val="002E7763"/>
    <w:rsid w:val="002F4C6F"/>
    <w:rsid w:val="002F5011"/>
    <w:rsid w:val="002F5842"/>
    <w:rsid w:val="002F7847"/>
    <w:rsid w:val="00306CB7"/>
    <w:rsid w:val="003111F5"/>
    <w:rsid w:val="00311EA8"/>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873D8"/>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3F7C84"/>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91CB5"/>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233B5"/>
    <w:rsid w:val="00530E37"/>
    <w:rsid w:val="00533AC2"/>
    <w:rsid w:val="00535946"/>
    <w:rsid w:val="005452CF"/>
    <w:rsid w:val="005464A1"/>
    <w:rsid w:val="00546F12"/>
    <w:rsid w:val="0055339C"/>
    <w:rsid w:val="005542CC"/>
    <w:rsid w:val="00560424"/>
    <w:rsid w:val="00562B3C"/>
    <w:rsid w:val="00564E40"/>
    <w:rsid w:val="00574E4F"/>
    <w:rsid w:val="005750E2"/>
    <w:rsid w:val="0058313F"/>
    <w:rsid w:val="0058541A"/>
    <w:rsid w:val="00585859"/>
    <w:rsid w:val="00586FBC"/>
    <w:rsid w:val="005879C9"/>
    <w:rsid w:val="00594CAD"/>
    <w:rsid w:val="00596B04"/>
    <w:rsid w:val="005A1D0B"/>
    <w:rsid w:val="005A3C6B"/>
    <w:rsid w:val="005A595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24E53"/>
    <w:rsid w:val="0063178D"/>
    <w:rsid w:val="00634238"/>
    <w:rsid w:val="00635FBC"/>
    <w:rsid w:val="00637728"/>
    <w:rsid w:val="0064113A"/>
    <w:rsid w:val="0064167B"/>
    <w:rsid w:val="00644002"/>
    <w:rsid w:val="006458B1"/>
    <w:rsid w:val="006460D4"/>
    <w:rsid w:val="00650529"/>
    <w:rsid w:val="00650BAB"/>
    <w:rsid w:val="00651737"/>
    <w:rsid w:val="006652DD"/>
    <w:rsid w:val="006671BF"/>
    <w:rsid w:val="00672A7D"/>
    <w:rsid w:val="00681416"/>
    <w:rsid w:val="006A06F5"/>
    <w:rsid w:val="006A0ED2"/>
    <w:rsid w:val="006B0A73"/>
    <w:rsid w:val="006B3FDB"/>
    <w:rsid w:val="006B5A6B"/>
    <w:rsid w:val="006C0F82"/>
    <w:rsid w:val="006C25E8"/>
    <w:rsid w:val="006C332E"/>
    <w:rsid w:val="006C5901"/>
    <w:rsid w:val="006D00F1"/>
    <w:rsid w:val="006D377A"/>
    <w:rsid w:val="006D4222"/>
    <w:rsid w:val="006D6372"/>
    <w:rsid w:val="006D68C4"/>
    <w:rsid w:val="006D6E5C"/>
    <w:rsid w:val="006E02AF"/>
    <w:rsid w:val="006E0786"/>
    <w:rsid w:val="006E1500"/>
    <w:rsid w:val="006E6B4A"/>
    <w:rsid w:val="006E72BB"/>
    <w:rsid w:val="006E7449"/>
    <w:rsid w:val="006E7FB1"/>
    <w:rsid w:val="006F2604"/>
    <w:rsid w:val="006F5319"/>
    <w:rsid w:val="006F55FD"/>
    <w:rsid w:val="006F5D21"/>
    <w:rsid w:val="007023B5"/>
    <w:rsid w:val="007109F6"/>
    <w:rsid w:val="00711BE3"/>
    <w:rsid w:val="00720057"/>
    <w:rsid w:val="00721B51"/>
    <w:rsid w:val="00724FA7"/>
    <w:rsid w:val="00725415"/>
    <w:rsid w:val="00727505"/>
    <w:rsid w:val="00731581"/>
    <w:rsid w:val="0073481D"/>
    <w:rsid w:val="00741B9E"/>
    <w:rsid w:val="00743DAC"/>
    <w:rsid w:val="007455B3"/>
    <w:rsid w:val="007502CD"/>
    <w:rsid w:val="00751B9A"/>
    <w:rsid w:val="00752AE7"/>
    <w:rsid w:val="00752D3B"/>
    <w:rsid w:val="0075337B"/>
    <w:rsid w:val="00755CD4"/>
    <w:rsid w:val="00757F96"/>
    <w:rsid w:val="007610B5"/>
    <w:rsid w:val="007623CB"/>
    <w:rsid w:val="00762652"/>
    <w:rsid w:val="00764551"/>
    <w:rsid w:val="007677B8"/>
    <w:rsid w:val="00780402"/>
    <w:rsid w:val="00781713"/>
    <w:rsid w:val="00785285"/>
    <w:rsid w:val="0078529D"/>
    <w:rsid w:val="00785E77"/>
    <w:rsid w:val="00787DC1"/>
    <w:rsid w:val="00790457"/>
    <w:rsid w:val="0079143D"/>
    <w:rsid w:val="00794070"/>
    <w:rsid w:val="007A63CA"/>
    <w:rsid w:val="007A713B"/>
    <w:rsid w:val="007A7DA0"/>
    <w:rsid w:val="007B64E5"/>
    <w:rsid w:val="007B656D"/>
    <w:rsid w:val="007C2F04"/>
    <w:rsid w:val="007F0187"/>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1053"/>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0BB6"/>
    <w:rsid w:val="009C27E5"/>
    <w:rsid w:val="009C7BDB"/>
    <w:rsid w:val="009D24A1"/>
    <w:rsid w:val="009D3891"/>
    <w:rsid w:val="009D5109"/>
    <w:rsid w:val="009D71E8"/>
    <w:rsid w:val="009E104B"/>
    <w:rsid w:val="009E7DE4"/>
    <w:rsid w:val="009F3BBD"/>
    <w:rsid w:val="00A022AB"/>
    <w:rsid w:val="00A063DD"/>
    <w:rsid w:val="00A112B5"/>
    <w:rsid w:val="00A14EEA"/>
    <w:rsid w:val="00A1733D"/>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0063"/>
    <w:rsid w:val="00A95F75"/>
    <w:rsid w:val="00A968DA"/>
    <w:rsid w:val="00A96B83"/>
    <w:rsid w:val="00AA355B"/>
    <w:rsid w:val="00AA42E5"/>
    <w:rsid w:val="00AA70A8"/>
    <w:rsid w:val="00AB24FA"/>
    <w:rsid w:val="00AC5DFD"/>
    <w:rsid w:val="00AD7B5A"/>
    <w:rsid w:val="00AE229F"/>
    <w:rsid w:val="00AE3B74"/>
    <w:rsid w:val="00AF5E20"/>
    <w:rsid w:val="00B002FA"/>
    <w:rsid w:val="00B00327"/>
    <w:rsid w:val="00B024B3"/>
    <w:rsid w:val="00B11DE8"/>
    <w:rsid w:val="00B179ED"/>
    <w:rsid w:val="00B20E18"/>
    <w:rsid w:val="00B331E1"/>
    <w:rsid w:val="00B539AF"/>
    <w:rsid w:val="00B572C4"/>
    <w:rsid w:val="00B60858"/>
    <w:rsid w:val="00B74D4E"/>
    <w:rsid w:val="00B80219"/>
    <w:rsid w:val="00B87184"/>
    <w:rsid w:val="00B91453"/>
    <w:rsid w:val="00BA19A5"/>
    <w:rsid w:val="00BB1072"/>
    <w:rsid w:val="00BC078B"/>
    <w:rsid w:val="00BC3A7D"/>
    <w:rsid w:val="00BC67F6"/>
    <w:rsid w:val="00BD0558"/>
    <w:rsid w:val="00BD2004"/>
    <w:rsid w:val="00BD4B12"/>
    <w:rsid w:val="00BD700D"/>
    <w:rsid w:val="00BE2F92"/>
    <w:rsid w:val="00BE44AC"/>
    <w:rsid w:val="00BF0D5F"/>
    <w:rsid w:val="00BF59B3"/>
    <w:rsid w:val="00BF6F95"/>
    <w:rsid w:val="00C10BCF"/>
    <w:rsid w:val="00C11EB4"/>
    <w:rsid w:val="00C12746"/>
    <w:rsid w:val="00C1518F"/>
    <w:rsid w:val="00C23C11"/>
    <w:rsid w:val="00C25827"/>
    <w:rsid w:val="00C31BB8"/>
    <w:rsid w:val="00C373EA"/>
    <w:rsid w:val="00C43CA3"/>
    <w:rsid w:val="00C43D9D"/>
    <w:rsid w:val="00C43EA4"/>
    <w:rsid w:val="00C50040"/>
    <w:rsid w:val="00C52DFF"/>
    <w:rsid w:val="00C56586"/>
    <w:rsid w:val="00C57421"/>
    <w:rsid w:val="00C621C1"/>
    <w:rsid w:val="00C62989"/>
    <w:rsid w:val="00C65CBB"/>
    <w:rsid w:val="00C672AC"/>
    <w:rsid w:val="00C74684"/>
    <w:rsid w:val="00C77FEF"/>
    <w:rsid w:val="00C80F37"/>
    <w:rsid w:val="00C82F26"/>
    <w:rsid w:val="00C83659"/>
    <w:rsid w:val="00C97A7F"/>
    <w:rsid w:val="00CA4421"/>
    <w:rsid w:val="00CA5363"/>
    <w:rsid w:val="00CA7D07"/>
    <w:rsid w:val="00CB24A4"/>
    <w:rsid w:val="00CB5B17"/>
    <w:rsid w:val="00CC4443"/>
    <w:rsid w:val="00CC5CAF"/>
    <w:rsid w:val="00CE5CC4"/>
    <w:rsid w:val="00D06874"/>
    <w:rsid w:val="00D07530"/>
    <w:rsid w:val="00D173F7"/>
    <w:rsid w:val="00D20203"/>
    <w:rsid w:val="00D204E0"/>
    <w:rsid w:val="00D21354"/>
    <w:rsid w:val="00D21887"/>
    <w:rsid w:val="00D22400"/>
    <w:rsid w:val="00D23F4A"/>
    <w:rsid w:val="00D262D6"/>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49C1"/>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4286E"/>
    <w:rsid w:val="00E43EAD"/>
    <w:rsid w:val="00E62DCB"/>
    <w:rsid w:val="00E651DD"/>
    <w:rsid w:val="00E660F7"/>
    <w:rsid w:val="00E66558"/>
    <w:rsid w:val="00E66736"/>
    <w:rsid w:val="00E70D81"/>
    <w:rsid w:val="00E726A6"/>
    <w:rsid w:val="00E73418"/>
    <w:rsid w:val="00E8109E"/>
    <w:rsid w:val="00E86F05"/>
    <w:rsid w:val="00EA3A2A"/>
    <w:rsid w:val="00EB4556"/>
    <w:rsid w:val="00EB64C8"/>
    <w:rsid w:val="00ED4136"/>
    <w:rsid w:val="00ED5108"/>
    <w:rsid w:val="00ED6AE8"/>
    <w:rsid w:val="00EE2CB2"/>
    <w:rsid w:val="00EE33A8"/>
    <w:rsid w:val="00EE678B"/>
    <w:rsid w:val="00F00E28"/>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0EA7"/>
    <w:rsid w:val="00F4142A"/>
    <w:rsid w:val="00F56B55"/>
    <w:rsid w:val="00F62587"/>
    <w:rsid w:val="00F631A6"/>
    <w:rsid w:val="00F63E9E"/>
    <w:rsid w:val="00F66AA7"/>
    <w:rsid w:val="00F75603"/>
    <w:rsid w:val="00F76843"/>
    <w:rsid w:val="00F776E1"/>
    <w:rsid w:val="00F8047F"/>
    <w:rsid w:val="00F925EB"/>
    <w:rsid w:val="00F97033"/>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879D1A28DC64ABA4B3D66CBB5C928" ma:contentTypeVersion="38" ma:contentTypeDescription="Create a new document." ma:contentTypeScope="" ma:versionID="75b6ea23822988fba5aefe55ea27c8f2">
  <xsd:schema xmlns:xsd="http://www.w3.org/2001/XMLSchema" xmlns:xs="http://www.w3.org/2001/XMLSchema" xmlns:p="http://schemas.microsoft.com/office/2006/metadata/properties" xmlns:ns3="66238667-399f-4abf-bbab-0a55b5d38ee0" xmlns:ns4="07cc3348-47d0-4f6c-a5e0-98d2f28d3602" targetNamespace="http://schemas.microsoft.com/office/2006/metadata/properties" ma:root="true" ma:fieldsID="648c9ca1fc96e6dab48028dd1a832869" ns3:_="" ns4:_="">
    <xsd:import namespace="66238667-399f-4abf-bbab-0a55b5d38ee0"/>
    <xsd:import namespace="07cc3348-47d0-4f6c-a5e0-98d2f28d3602"/>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3:SharedWithDetails"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38667-399f-4abf-bbab-0a55b5d38e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cc3348-47d0-4f6c-a5e0-98d2f28d36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07cc3348-47d0-4f6c-a5e0-98d2f28d3602" xsi:nil="true"/>
    <CultureName xmlns="07cc3348-47d0-4f6c-a5e0-98d2f28d3602" xsi:nil="true"/>
    <Students xmlns="07cc3348-47d0-4f6c-a5e0-98d2f28d3602">
      <UserInfo>
        <DisplayName/>
        <AccountId xsi:nil="true"/>
        <AccountType/>
      </UserInfo>
    </Students>
    <Student_Groups xmlns="07cc3348-47d0-4f6c-a5e0-98d2f28d3602">
      <UserInfo>
        <DisplayName/>
        <AccountId xsi:nil="true"/>
        <AccountType/>
      </UserInfo>
    </Student_Groups>
    <TeamsChannelId xmlns="07cc3348-47d0-4f6c-a5e0-98d2f28d3602" xsi:nil="true"/>
    <Invited_Students xmlns="07cc3348-47d0-4f6c-a5e0-98d2f28d3602" xsi:nil="true"/>
    <Has_Teacher_Only_SectionGroup xmlns="07cc3348-47d0-4f6c-a5e0-98d2f28d3602" xsi:nil="true"/>
    <AppVersion xmlns="07cc3348-47d0-4f6c-a5e0-98d2f28d3602" xsi:nil="true"/>
    <Math_Settings xmlns="07cc3348-47d0-4f6c-a5e0-98d2f28d3602" xsi:nil="true"/>
    <Owner xmlns="07cc3348-47d0-4f6c-a5e0-98d2f28d3602">
      <UserInfo>
        <DisplayName/>
        <AccountId xsi:nil="true"/>
        <AccountType/>
      </UserInfo>
    </Owner>
    <NotebookType xmlns="07cc3348-47d0-4f6c-a5e0-98d2f28d3602" xsi:nil="true"/>
    <Distribution_Groups xmlns="07cc3348-47d0-4f6c-a5e0-98d2f28d3602" xsi:nil="true"/>
    <LMS_Mappings xmlns="07cc3348-47d0-4f6c-a5e0-98d2f28d3602" xsi:nil="true"/>
    <Is_Collaboration_Space_Locked xmlns="07cc3348-47d0-4f6c-a5e0-98d2f28d3602" xsi:nil="true"/>
    <_activity xmlns="07cc3348-47d0-4f6c-a5e0-98d2f28d3602" xsi:nil="true"/>
    <Templates xmlns="07cc3348-47d0-4f6c-a5e0-98d2f28d3602" xsi:nil="true"/>
    <FolderType xmlns="07cc3348-47d0-4f6c-a5e0-98d2f28d3602" xsi:nil="true"/>
    <Teachers xmlns="07cc3348-47d0-4f6c-a5e0-98d2f28d3602">
      <UserInfo>
        <DisplayName/>
        <AccountId xsi:nil="true"/>
        <AccountType/>
      </UserInfo>
    </Teachers>
    <Invited_Teachers xmlns="07cc3348-47d0-4f6c-a5e0-98d2f28d3602" xsi:nil="true"/>
    <IsNotebookLocked xmlns="07cc3348-47d0-4f6c-a5e0-98d2f28d3602" xsi:nil="true"/>
    <DefaultSectionNames xmlns="07cc3348-47d0-4f6c-a5e0-98d2f28d3602" xsi:nil="true"/>
  </documentManagement>
</p:properties>
</file>

<file path=customXml/itemProps1.xml><?xml version="1.0" encoding="utf-8"?>
<ds:datastoreItem xmlns:ds="http://schemas.openxmlformats.org/officeDocument/2006/customXml" ds:itemID="{FDAE015D-1324-4150-A24B-8484D231B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38667-399f-4abf-bbab-0a55b5d38ee0"/>
    <ds:schemaRef ds:uri="07cc3348-47d0-4f6c-a5e0-98d2f28d3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C792-8ABA-409E-9FBF-1145DFED92D3}">
  <ds:schemaRefs>
    <ds:schemaRef ds:uri="http://schemas.microsoft.com/sharepoint/v3/contenttype/forms"/>
  </ds:schemaRefs>
</ds:datastoreItem>
</file>

<file path=customXml/itemProps3.xml><?xml version="1.0" encoding="utf-8"?>
<ds:datastoreItem xmlns:ds="http://schemas.openxmlformats.org/officeDocument/2006/customXml" ds:itemID="{D510A1A7-739A-4FA2-83F7-B5AD8AE1449B}">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07cc3348-47d0-4f6c-a5e0-98d2f28d3602"/>
    <ds:schemaRef ds:uri="66238667-399f-4abf-bbab-0a55b5d38e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4129</Words>
  <Characters>23541</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Mrs McMinn</cp:lastModifiedBy>
  <cp:revision>2</cp:revision>
  <cp:lastPrinted>2014-09-18T05:26:00Z</cp:lastPrinted>
  <dcterms:created xsi:type="dcterms:W3CDTF">2025-01-06T10:59:00Z</dcterms:created>
  <dcterms:modified xsi:type="dcterms:W3CDTF">2025-01-06T10:59:00Z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0x0101007C2879D1A28DC64ABA4B3D66CBB5C928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